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2CE" w:rsidRPr="001A3691" w:rsidRDefault="00045E99" w:rsidP="001A3691">
      <w:pPr>
        <w:pStyle w:val="Sansinterligne"/>
        <w:rPr>
          <w:lang w:val="fr-FR"/>
        </w:rPr>
      </w:pPr>
      <w:bookmarkStart w:id="0" w:name="_GoBack"/>
      <w:bookmarkEnd w:id="0"/>
      <w:r w:rsidRPr="001A3691">
        <w:rPr>
          <w:lang w:val="fr-FR"/>
        </w:rPr>
        <w:t xml:space="preserve">Postures d’étayage enseignantes : </w:t>
      </w:r>
    </w:p>
    <w:p w:rsidR="005A340A" w:rsidRPr="001A3691" w:rsidRDefault="00045E99" w:rsidP="001A3691">
      <w:pPr>
        <w:pStyle w:val="Sansinterligne"/>
        <w:numPr>
          <w:ilvl w:val="0"/>
          <w:numId w:val="3"/>
        </w:numPr>
        <w:rPr>
          <w:lang w:val="fr-FR"/>
        </w:rPr>
      </w:pPr>
      <w:r w:rsidRPr="001A3691">
        <w:rPr>
          <w:lang w:val="fr-FR"/>
        </w:rPr>
        <w:t xml:space="preserve">d’accompagnement : apporte une aide, provoque les discussions, la recherche de sens, de références, d’outils, le retour réflexif. Il observe, intervient peu. </w:t>
      </w:r>
    </w:p>
    <w:p w:rsidR="005A340A" w:rsidRPr="001A3691" w:rsidRDefault="00045E99" w:rsidP="001A3691">
      <w:pPr>
        <w:pStyle w:val="Sansinterligne"/>
        <w:numPr>
          <w:ilvl w:val="0"/>
          <w:numId w:val="3"/>
        </w:numPr>
        <w:rPr>
          <w:lang w:val="fr-FR"/>
        </w:rPr>
      </w:pPr>
      <w:r w:rsidRPr="001A3691">
        <w:rPr>
          <w:lang w:val="fr-FR"/>
        </w:rPr>
        <w:t xml:space="preserve">de contrôle : mise en place d’un cadrage de la situation d’apprentissage, visant l’avancée des tâches réalisées par le groupe. De nombreux réajustements, et une adresse collective. </w:t>
      </w:r>
    </w:p>
    <w:p w:rsidR="005A340A" w:rsidRPr="001A3691" w:rsidRDefault="001A3691" w:rsidP="001A3691">
      <w:pPr>
        <w:pStyle w:val="Sansinterligne"/>
        <w:numPr>
          <w:ilvl w:val="0"/>
          <w:numId w:val="3"/>
        </w:numPr>
        <w:rPr>
          <w:lang w:val="fr-FR"/>
        </w:rPr>
      </w:pPr>
      <w:r w:rsidRPr="001A3691">
        <w:rPr>
          <w:lang w:val="fr-FR"/>
        </w:rPr>
        <w:t>d’enseignement :</w:t>
      </w:r>
      <w:r w:rsidR="00045E99" w:rsidRPr="001A3691">
        <w:rPr>
          <w:lang w:val="fr-FR"/>
        </w:rPr>
        <w:t xml:space="preserve"> formulation, structuration des savoirs en lien avec l’activité. Apports ponctuels, à </w:t>
      </w:r>
      <w:r w:rsidR="005A340A" w:rsidRPr="001A3691">
        <w:rPr>
          <w:lang w:val="fr-FR"/>
        </w:rPr>
        <w:t>des moment</w:t>
      </w:r>
      <w:r w:rsidR="00045E99" w:rsidRPr="001A3691">
        <w:rPr>
          <w:lang w:val="fr-FR"/>
        </w:rPr>
        <w:t xml:space="preserve">s spécifiques. Les savoirs, les techniques, les outils sont nommés et explicités. </w:t>
      </w:r>
    </w:p>
    <w:p w:rsidR="006A02CE" w:rsidRPr="001A3691" w:rsidRDefault="00045E99" w:rsidP="001A3691">
      <w:pPr>
        <w:pStyle w:val="Sansinterligne"/>
        <w:numPr>
          <w:ilvl w:val="0"/>
          <w:numId w:val="3"/>
        </w:numPr>
        <w:rPr>
          <w:lang w:val="fr-FR"/>
        </w:rPr>
      </w:pPr>
      <w:r w:rsidRPr="001A3691">
        <w:rPr>
          <w:lang w:val="fr-FR"/>
        </w:rPr>
        <w:t xml:space="preserve">de lâcher prise : favorise l’autonomie, la responsabilité aux élèves de leur travail, et l’autorisation d’expérimenter d’autres chemins.  Fait confiance </w:t>
      </w:r>
      <w:r w:rsidR="001A3691" w:rsidRPr="001A3691">
        <w:rPr>
          <w:lang w:val="fr-FR"/>
        </w:rPr>
        <w:t>aux élèves</w:t>
      </w:r>
      <w:r w:rsidRPr="001A3691">
        <w:rPr>
          <w:lang w:val="fr-FR"/>
        </w:rPr>
        <w:t xml:space="preserve">, et utilise leurs apports pour les communiquer au groupe. Favorise la construction collective, les échanges et les discussions. </w:t>
      </w:r>
    </w:p>
    <w:p w:rsidR="006A02CE" w:rsidRPr="001A3691" w:rsidRDefault="006A02CE" w:rsidP="001A3691">
      <w:pPr>
        <w:pStyle w:val="Sansinterligne"/>
        <w:rPr>
          <w:lang w:val="fr-FR"/>
        </w:rPr>
      </w:pPr>
    </w:p>
    <w:p w:rsidR="006A02CE" w:rsidRPr="001A3691" w:rsidRDefault="00045E99" w:rsidP="001A3691">
      <w:pPr>
        <w:pStyle w:val="Sansinterligne"/>
        <w:rPr>
          <w:lang w:val="fr-FR"/>
        </w:rPr>
      </w:pPr>
      <w:r w:rsidRPr="001A3691">
        <w:rPr>
          <w:lang w:val="fr-FR"/>
        </w:rPr>
        <w:t>Référence électronique</w:t>
      </w:r>
    </w:p>
    <w:p w:rsidR="006A02CE" w:rsidRPr="001A3691" w:rsidRDefault="00045E99" w:rsidP="001A3691">
      <w:pPr>
        <w:pStyle w:val="Sansinterligne"/>
        <w:rPr>
          <w:lang w:val="fr-FR"/>
        </w:rPr>
      </w:pPr>
      <w:r w:rsidRPr="001A3691">
        <w:rPr>
          <w:lang w:val="fr-FR"/>
        </w:rPr>
        <w:t>Dominique Bucheton et Yves Soulé, « Les gestes professionnels et le jeu des postures de l’enseignant dans la</w:t>
      </w:r>
      <w:r w:rsidR="001A3691">
        <w:rPr>
          <w:lang w:val="fr-FR"/>
        </w:rPr>
        <w:t xml:space="preserve"> </w:t>
      </w:r>
      <w:r w:rsidRPr="001A3691">
        <w:rPr>
          <w:lang w:val="fr-FR"/>
        </w:rPr>
        <w:t>classe : un multi-agenda de préoccupations enchâssées », Éducation et didactique [En ligne], vol 3 - n°3 | Octobre</w:t>
      </w:r>
      <w:r w:rsidR="001A3691">
        <w:rPr>
          <w:lang w:val="fr-FR"/>
        </w:rPr>
        <w:t xml:space="preserve"> </w:t>
      </w:r>
      <w:r w:rsidRPr="001A3691">
        <w:rPr>
          <w:lang w:val="fr-FR"/>
        </w:rPr>
        <w:t xml:space="preserve">2009, mis en ligne le 01 octobre 2011, consulté le 01 janvier 2013. URL : </w:t>
      </w:r>
      <w:hyperlink r:id="rId7" w:history="1">
        <w:r w:rsidR="001A3691" w:rsidRPr="00344B50">
          <w:rPr>
            <w:rStyle w:val="Lienhypertexte"/>
            <w:lang w:val="fr-FR"/>
          </w:rPr>
          <w:t>http://educationdidactique.revues.org/543</w:t>
        </w:r>
      </w:hyperlink>
      <w:r w:rsidR="001A3691">
        <w:rPr>
          <w:lang w:val="fr-FR"/>
        </w:rPr>
        <w:t xml:space="preserve"> </w:t>
      </w:r>
    </w:p>
    <w:p w:rsidR="006A02CE" w:rsidRPr="001A3691" w:rsidRDefault="006A02CE" w:rsidP="001A3691">
      <w:pPr>
        <w:pStyle w:val="Sansinterligne"/>
        <w:rPr>
          <w:lang w:val="fr-FR"/>
        </w:rPr>
      </w:pPr>
    </w:p>
    <w:p w:rsidR="006A02CE" w:rsidRPr="001A3691" w:rsidRDefault="006A02CE" w:rsidP="001A3691">
      <w:pPr>
        <w:pStyle w:val="Sansinterligne"/>
        <w:rPr>
          <w:lang w:val="fr-FR"/>
        </w:rPr>
      </w:pPr>
    </w:p>
    <w:p w:rsidR="006A02CE" w:rsidRPr="001A3691" w:rsidRDefault="00045E99" w:rsidP="001A3691">
      <w:pPr>
        <w:pStyle w:val="Sansinterligne"/>
        <w:rPr>
          <w:lang w:val="fr-FR"/>
        </w:rPr>
      </w:pPr>
      <w:r w:rsidRPr="001A3691">
        <w:rPr>
          <w:lang w:val="fr-FR"/>
        </w:rPr>
        <w:t xml:space="preserve">Postures élèves : </w:t>
      </w:r>
    </w:p>
    <w:p w:rsidR="006A02CE" w:rsidRPr="001A3691" w:rsidRDefault="001A3691" w:rsidP="001A3691">
      <w:pPr>
        <w:pStyle w:val="Sansinterligne"/>
        <w:numPr>
          <w:ilvl w:val="0"/>
          <w:numId w:val="4"/>
        </w:numPr>
        <w:rPr>
          <w:lang w:val="fr-FR"/>
        </w:rPr>
      </w:pPr>
      <w:r w:rsidRPr="001A3691">
        <w:rPr>
          <w:lang w:val="fr-FR"/>
        </w:rPr>
        <w:t>Spectateur:</w:t>
      </w:r>
      <w:r w:rsidR="00045E99" w:rsidRPr="001A3691">
        <w:rPr>
          <w:lang w:val="fr-FR"/>
        </w:rPr>
        <w:t xml:space="preserve"> je regarde, j’écoute, je visite </w:t>
      </w:r>
    </w:p>
    <w:p w:rsidR="006A02CE" w:rsidRPr="001A3691" w:rsidRDefault="001A3691" w:rsidP="001A3691">
      <w:pPr>
        <w:pStyle w:val="Sansinterligne"/>
        <w:numPr>
          <w:ilvl w:val="0"/>
          <w:numId w:val="4"/>
        </w:numPr>
        <w:rPr>
          <w:lang w:val="fr-FR"/>
        </w:rPr>
      </w:pPr>
      <w:r w:rsidRPr="001A3691">
        <w:rPr>
          <w:lang w:val="fr-FR"/>
        </w:rPr>
        <w:t>Découvreur:</w:t>
      </w:r>
      <w:r w:rsidR="00045E99" w:rsidRPr="001A3691">
        <w:rPr>
          <w:lang w:val="fr-FR"/>
        </w:rPr>
        <w:t xml:space="preserve"> je m’</w:t>
      </w:r>
      <w:r w:rsidR="005A340A" w:rsidRPr="001A3691">
        <w:rPr>
          <w:lang w:val="fr-FR"/>
        </w:rPr>
        <w:t>essaie, j'explore</w:t>
      </w:r>
    </w:p>
    <w:p w:rsidR="005A340A" w:rsidRPr="001A3691" w:rsidRDefault="001A3691" w:rsidP="001A3691">
      <w:pPr>
        <w:pStyle w:val="Sansinterligne"/>
        <w:numPr>
          <w:ilvl w:val="0"/>
          <w:numId w:val="4"/>
        </w:numPr>
        <w:rPr>
          <w:lang w:val="fr-FR"/>
        </w:rPr>
      </w:pPr>
      <w:r w:rsidRPr="001A3691">
        <w:rPr>
          <w:lang w:val="fr-FR"/>
        </w:rPr>
        <w:t>Interprète:</w:t>
      </w:r>
      <w:r w:rsidR="00045E99" w:rsidRPr="001A3691">
        <w:rPr>
          <w:lang w:val="fr-FR"/>
        </w:rPr>
        <w:t xml:space="preserve"> je fais, je réalise </w:t>
      </w:r>
    </w:p>
    <w:p w:rsidR="005A340A" w:rsidRPr="001A3691" w:rsidRDefault="00045E99" w:rsidP="001A3691">
      <w:pPr>
        <w:pStyle w:val="Sansinterligne"/>
        <w:numPr>
          <w:ilvl w:val="0"/>
          <w:numId w:val="4"/>
        </w:numPr>
        <w:rPr>
          <w:lang w:val="fr-FR"/>
        </w:rPr>
      </w:pPr>
      <w:r w:rsidRPr="001A3691">
        <w:rPr>
          <w:lang w:val="fr-FR"/>
        </w:rPr>
        <w:t xml:space="preserve">Médiateur : je mets en relation avec ce que j’ai déjà appris </w:t>
      </w:r>
    </w:p>
    <w:p w:rsidR="006A02CE" w:rsidRPr="001A3691" w:rsidRDefault="00045E99" w:rsidP="001A3691">
      <w:pPr>
        <w:pStyle w:val="Sansinterligne"/>
        <w:numPr>
          <w:ilvl w:val="0"/>
          <w:numId w:val="4"/>
        </w:numPr>
        <w:rPr>
          <w:lang w:val="fr-FR"/>
        </w:rPr>
      </w:pPr>
      <w:r w:rsidRPr="001A3691">
        <w:rPr>
          <w:lang w:val="fr-FR"/>
        </w:rPr>
        <w:t xml:space="preserve">Ingénieur </w:t>
      </w:r>
      <w:r w:rsidR="005A340A" w:rsidRPr="001A3691">
        <w:rPr>
          <w:lang w:val="fr-FR"/>
        </w:rPr>
        <w:t>: j’invente</w:t>
      </w:r>
      <w:r w:rsidRPr="001A3691">
        <w:rPr>
          <w:lang w:val="fr-FR"/>
        </w:rPr>
        <w:t xml:space="preserve"> </w:t>
      </w:r>
    </w:p>
    <w:p w:rsidR="006A02CE" w:rsidRPr="001A3691" w:rsidRDefault="006A02CE" w:rsidP="001A3691">
      <w:pPr>
        <w:pStyle w:val="Sansinterligne"/>
        <w:rPr>
          <w:lang w:val="fr-FR"/>
        </w:rPr>
      </w:pPr>
    </w:p>
    <w:p w:rsidR="001A3691" w:rsidRPr="001A3691" w:rsidRDefault="001A3691" w:rsidP="0057436F">
      <w:pPr>
        <w:pStyle w:val="Sansinterligne"/>
        <w:ind w:firstLine="720"/>
        <w:rPr>
          <w:lang w:val="fr-FR"/>
        </w:rPr>
      </w:pPr>
      <w:r w:rsidRPr="001A3691">
        <w:rPr>
          <w:lang w:val="fr-FR"/>
        </w:rPr>
        <w:t>Le tableau suivant met en relation les postures élèves avec les typologies des actions, des propositions ainsi qu’avec les postures des partenaires et des enseignants. Cette entrée prend un sens dans le cas des actions conduites avec des partenaires.</w:t>
      </w:r>
    </w:p>
    <w:p w:rsidR="001A3691" w:rsidRPr="001A3691" w:rsidRDefault="001A3691" w:rsidP="001A3691">
      <w:pPr>
        <w:pStyle w:val="Sansinterligne"/>
        <w:rPr>
          <w:lang w:val="fr-FR"/>
        </w:rPr>
      </w:pPr>
    </w:p>
    <w:tbl>
      <w:tblPr>
        <w:tblStyle w:val="TableNormal"/>
        <w:tblW w:w="1049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037"/>
        <w:gridCol w:w="2214"/>
        <w:gridCol w:w="1927"/>
        <w:gridCol w:w="1927"/>
        <w:gridCol w:w="2385"/>
      </w:tblGrid>
      <w:tr w:rsidR="006A02CE" w:rsidRPr="001A3691" w:rsidTr="001A3691">
        <w:trPr>
          <w:cantSplit/>
          <w:trHeight w:val="488"/>
          <w:tblHeader/>
        </w:trPr>
        <w:tc>
          <w:tcPr>
            <w:tcW w:w="2037"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6A02CE" w:rsidRPr="001A3691" w:rsidRDefault="005A340A" w:rsidP="001A3691">
            <w:pPr>
              <w:pStyle w:val="Sansinterligne"/>
              <w:rPr>
                <w:lang w:val="fr-FR"/>
              </w:rPr>
            </w:pPr>
            <w:r w:rsidRPr="001A3691">
              <w:rPr>
                <w:lang w:val="fr-FR"/>
              </w:rPr>
              <w:t>P</w:t>
            </w:r>
            <w:r w:rsidR="00045E99" w:rsidRPr="001A3691">
              <w:rPr>
                <w:lang w:val="fr-FR"/>
              </w:rPr>
              <w:t>osture élève</w:t>
            </w:r>
          </w:p>
        </w:tc>
        <w:tc>
          <w:tcPr>
            <w:tcW w:w="2214"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6A02CE" w:rsidRPr="001A3691" w:rsidRDefault="005A340A" w:rsidP="001A3691">
            <w:pPr>
              <w:pStyle w:val="Sansinterligne"/>
              <w:rPr>
                <w:lang w:val="fr-FR"/>
              </w:rPr>
            </w:pPr>
            <w:r w:rsidRPr="001A3691">
              <w:rPr>
                <w:lang w:val="fr-FR"/>
              </w:rPr>
              <w:t>T</w:t>
            </w:r>
            <w:r w:rsidR="00045E99" w:rsidRPr="001A3691">
              <w:rPr>
                <w:lang w:val="fr-FR"/>
              </w:rPr>
              <w:t>ypologie action</w:t>
            </w:r>
          </w:p>
        </w:tc>
        <w:tc>
          <w:tcPr>
            <w:tcW w:w="1927"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6A02CE" w:rsidRPr="001A3691" w:rsidRDefault="005A340A" w:rsidP="001A3691">
            <w:pPr>
              <w:pStyle w:val="Sansinterligne"/>
              <w:rPr>
                <w:lang w:val="fr-FR"/>
              </w:rPr>
            </w:pPr>
            <w:r w:rsidRPr="001A3691">
              <w:rPr>
                <w:lang w:val="fr-FR"/>
              </w:rPr>
              <w:t>T</w:t>
            </w:r>
            <w:r w:rsidR="00045E99" w:rsidRPr="001A3691">
              <w:rPr>
                <w:lang w:val="fr-FR"/>
              </w:rPr>
              <w:t xml:space="preserve">ypologie proposition </w:t>
            </w:r>
          </w:p>
        </w:tc>
        <w:tc>
          <w:tcPr>
            <w:tcW w:w="1927"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6A02CE" w:rsidRPr="001A3691" w:rsidRDefault="005A340A" w:rsidP="001A3691">
            <w:pPr>
              <w:pStyle w:val="Sansinterligne"/>
              <w:rPr>
                <w:lang w:val="fr-FR"/>
              </w:rPr>
            </w:pPr>
            <w:r w:rsidRPr="001A3691">
              <w:rPr>
                <w:lang w:val="fr-FR"/>
              </w:rPr>
              <w:t>P</w:t>
            </w:r>
            <w:r w:rsidR="00045E99" w:rsidRPr="001A3691">
              <w:rPr>
                <w:lang w:val="fr-FR"/>
              </w:rPr>
              <w:t xml:space="preserve">osture </w:t>
            </w:r>
            <w:r w:rsidRPr="001A3691">
              <w:rPr>
                <w:lang w:val="fr-FR"/>
              </w:rPr>
              <w:t xml:space="preserve">du </w:t>
            </w:r>
            <w:r w:rsidR="00045E99" w:rsidRPr="001A3691">
              <w:rPr>
                <w:lang w:val="fr-FR"/>
              </w:rPr>
              <w:t>partenaire</w:t>
            </w:r>
          </w:p>
        </w:tc>
        <w:tc>
          <w:tcPr>
            <w:tcW w:w="2385"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6A02CE" w:rsidRPr="001A3691" w:rsidRDefault="005A340A" w:rsidP="001A3691">
            <w:pPr>
              <w:pStyle w:val="Sansinterligne"/>
              <w:rPr>
                <w:lang w:val="fr-FR"/>
              </w:rPr>
            </w:pPr>
            <w:r w:rsidRPr="001A3691">
              <w:rPr>
                <w:lang w:val="fr-FR"/>
              </w:rPr>
              <w:t>P</w:t>
            </w:r>
            <w:r w:rsidR="00045E99" w:rsidRPr="001A3691">
              <w:rPr>
                <w:lang w:val="fr-FR"/>
              </w:rPr>
              <w:t xml:space="preserve">osture </w:t>
            </w:r>
            <w:r w:rsidRPr="001A3691">
              <w:rPr>
                <w:lang w:val="fr-FR"/>
              </w:rPr>
              <w:t>de l’</w:t>
            </w:r>
            <w:r w:rsidR="00045E99" w:rsidRPr="001A3691">
              <w:rPr>
                <w:lang w:val="fr-FR"/>
              </w:rPr>
              <w:t xml:space="preserve">enseignant </w:t>
            </w:r>
          </w:p>
        </w:tc>
      </w:tr>
      <w:tr w:rsidR="006A02CE" w:rsidRPr="001A3691" w:rsidTr="001A3691">
        <w:tblPrEx>
          <w:shd w:val="clear" w:color="auto" w:fill="auto"/>
        </w:tblPrEx>
        <w:trPr>
          <w:cantSplit/>
          <w:trHeight w:val="968"/>
        </w:trPr>
        <w:tc>
          <w:tcPr>
            <w:tcW w:w="2037" w:type="dxa"/>
            <w:tcBorders>
              <w:top w:val="single" w:sz="4"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rsidR="006A02CE" w:rsidRPr="001A3691" w:rsidRDefault="00045E99" w:rsidP="001A3691">
            <w:pPr>
              <w:pStyle w:val="Sansinterligne"/>
              <w:rPr>
                <w:lang w:val="fr-FR"/>
              </w:rPr>
            </w:pPr>
            <w:r w:rsidRPr="001A3691">
              <w:rPr>
                <w:lang w:val="fr-FR"/>
              </w:rPr>
              <w:t xml:space="preserve">Spectateur </w:t>
            </w:r>
          </w:p>
        </w:tc>
        <w:tc>
          <w:tcPr>
            <w:tcW w:w="2214" w:type="dxa"/>
            <w:tcBorders>
              <w:top w:val="single" w:sz="4" w:space="0" w:color="000000"/>
              <w:left w:val="single" w:sz="4"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rsidR="006A02CE" w:rsidRPr="001A3691" w:rsidRDefault="005A340A" w:rsidP="001A3691">
            <w:pPr>
              <w:pStyle w:val="Sansinterligne"/>
              <w:rPr>
                <w:lang w:val="fr-FR"/>
              </w:rPr>
            </w:pPr>
            <w:r w:rsidRPr="001A3691">
              <w:rPr>
                <w:lang w:val="fr-FR"/>
              </w:rPr>
              <w:t>E</w:t>
            </w:r>
            <w:r w:rsidR="00045E99" w:rsidRPr="001A3691">
              <w:rPr>
                <w:lang w:val="fr-FR"/>
              </w:rPr>
              <w:t xml:space="preserve">nrichissement  </w:t>
            </w:r>
          </w:p>
          <w:p w:rsidR="006A02CE" w:rsidRPr="001A3691" w:rsidRDefault="005A340A" w:rsidP="001A3691">
            <w:pPr>
              <w:pStyle w:val="Sansinterligne"/>
              <w:rPr>
                <w:lang w:val="fr-FR"/>
              </w:rPr>
            </w:pPr>
            <w:r w:rsidRPr="001A3691">
              <w:rPr>
                <w:lang w:val="fr-FR"/>
              </w:rPr>
              <w:t>S</w:t>
            </w:r>
            <w:r w:rsidR="00045E99" w:rsidRPr="001A3691">
              <w:rPr>
                <w:lang w:val="fr-FR"/>
              </w:rPr>
              <w:t xml:space="preserve">ensibilisation </w:t>
            </w:r>
          </w:p>
        </w:tc>
        <w:tc>
          <w:tcPr>
            <w:tcW w:w="1927" w:type="dxa"/>
            <w:tcBorders>
              <w:top w:val="single" w:sz="4"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rsidR="006A02CE" w:rsidRPr="001A3691" w:rsidRDefault="005A340A" w:rsidP="001A3691">
            <w:pPr>
              <w:pStyle w:val="Sansinterligne"/>
              <w:rPr>
                <w:lang w:val="fr-FR"/>
              </w:rPr>
            </w:pPr>
            <w:r w:rsidRPr="001A3691">
              <w:rPr>
                <w:lang w:val="fr-FR"/>
              </w:rPr>
              <w:t>S</w:t>
            </w:r>
            <w:r w:rsidR="00045E99" w:rsidRPr="001A3691">
              <w:rPr>
                <w:lang w:val="fr-FR"/>
              </w:rPr>
              <w:t xml:space="preserve">ensibilisation </w:t>
            </w:r>
          </w:p>
          <w:p w:rsidR="006A02CE" w:rsidRPr="001A3691" w:rsidRDefault="005A340A" w:rsidP="001A3691">
            <w:pPr>
              <w:pStyle w:val="Sansinterligne"/>
              <w:rPr>
                <w:lang w:val="fr-FR"/>
              </w:rPr>
            </w:pPr>
            <w:r w:rsidRPr="001A3691">
              <w:rPr>
                <w:lang w:val="fr-FR"/>
              </w:rPr>
              <w:t>R</w:t>
            </w:r>
            <w:r w:rsidR="00045E99" w:rsidRPr="001A3691">
              <w:rPr>
                <w:lang w:val="fr-FR"/>
              </w:rPr>
              <w:t>apport à l’</w:t>
            </w:r>
            <w:r w:rsidRPr="001A3691">
              <w:rPr>
                <w:lang w:val="fr-FR"/>
              </w:rPr>
              <w:t>œuvre</w:t>
            </w:r>
          </w:p>
          <w:p w:rsidR="006A02CE" w:rsidRPr="001A3691" w:rsidRDefault="005A340A" w:rsidP="001A3691">
            <w:pPr>
              <w:pStyle w:val="Sansinterligne"/>
              <w:rPr>
                <w:lang w:val="fr-FR"/>
              </w:rPr>
            </w:pPr>
            <w:r w:rsidRPr="001A3691">
              <w:rPr>
                <w:lang w:val="fr-FR"/>
              </w:rPr>
              <w:t>R</w:t>
            </w:r>
            <w:r w:rsidR="00045E99" w:rsidRPr="001A3691">
              <w:rPr>
                <w:lang w:val="fr-FR"/>
              </w:rPr>
              <w:t xml:space="preserve">encontre </w:t>
            </w:r>
          </w:p>
          <w:p w:rsidR="006A02CE" w:rsidRPr="001A3691" w:rsidRDefault="00045E99" w:rsidP="001A3691">
            <w:pPr>
              <w:pStyle w:val="Sansinterligne"/>
              <w:rPr>
                <w:lang w:val="fr-FR"/>
              </w:rPr>
            </w:pPr>
            <w:r w:rsidRPr="001A3691">
              <w:rPr>
                <w:lang w:val="fr-FR"/>
              </w:rPr>
              <w:t>Temps fort</w:t>
            </w:r>
          </w:p>
        </w:tc>
        <w:tc>
          <w:tcPr>
            <w:tcW w:w="1927" w:type="dxa"/>
            <w:tcBorders>
              <w:top w:val="single" w:sz="4"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rsidR="006A02CE" w:rsidRPr="001A3691" w:rsidRDefault="005A340A" w:rsidP="001A3691">
            <w:pPr>
              <w:pStyle w:val="Sansinterligne"/>
              <w:rPr>
                <w:lang w:val="fr-FR"/>
              </w:rPr>
            </w:pPr>
            <w:r w:rsidRPr="001A3691">
              <w:rPr>
                <w:lang w:val="fr-FR"/>
              </w:rPr>
              <w:t>E</w:t>
            </w:r>
            <w:r w:rsidR="00045E99" w:rsidRPr="001A3691">
              <w:rPr>
                <w:lang w:val="fr-FR"/>
              </w:rPr>
              <w:t>xpert</w:t>
            </w:r>
          </w:p>
          <w:p w:rsidR="006A02CE" w:rsidRPr="001A3691" w:rsidRDefault="005A340A" w:rsidP="001A3691">
            <w:pPr>
              <w:pStyle w:val="Sansinterligne"/>
              <w:rPr>
                <w:lang w:val="fr-FR"/>
              </w:rPr>
            </w:pPr>
            <w:r w:rsidRPr="001A3691">
              <w:rPr>
                <w:lang w:val="fr-FR"/>
              </w:rPr>
              <w:t>A</w:t>
            </w:r>
            <w:r w:rsidR="00045E99" w:rsidRPr="001A3691">
              <w:rPr>
                <w:lang w:val="fr-FR"/>
              </w:rPr>
              <w:t xml:space="preserve">nimateur </w:t>
            </w:r>
          </w:p>
        </w:tc>
        <w:tc>
          <w:tcPr>
            <w:tcW w:w="2385" w:type="dxa"/>
            <w:tcBorders>
              <w:top w:val="single" w:sz="4"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rsidR="006A02CE" w:rsidRPr="001A3691" w:rsidRDefault="005A340A" w:rsidP="001A3691">
            <w:pPr>
              <w:pStyle w:val="Sansinterligne"/>
              <w:rPr>
                <w:lang w:val="fr-FR"/>
              </w:rPr>
            </w:pPr>
            <w:r w:rsidRPr="001A3691">
              <w:rPr>
                <w:lang w:val="fr-FR"/>
              </w:rPr>
              <w:t>A</w:t>
            </w:r>
            <w:r w:rsidR="00045E99" w:rsidRPr="001A3691">
              <w:rPr>
                <w:lang w:val="fr-FR"/>
              </w:rPr>
              <w:t xml:space="preserve">ccompagnement </w:t>
            </w:r>
          </w:p>
        </w:tc>
      </w:tr>
      <w:tr w:rsidR="006A02CE" w:rsidRPr="001A3691" w:rsidTr="001A3691">
        <w:tblPrEx>
          <w:shd w:val="clear" w:color="auto" w:fill="auto"/>
        </w:tblPrEx>
        <w:trPr>
          <w:cantSplit/>
          <w:trHeight w:val="485"/>
        </w:trPr>
        <w:tc>
          <w:tcPr>
            <w:tcW w:w="203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rsidR="006A02CE" w:rsidRPr="001A3691" w:rsidRDefault="00045E99" w:rsidP="001A3691">
            <w:pPr>
              <w:pStyle w:val="Sansinterligne"/>
              <w:rPr>
                <w:lang w:val="fr-FR"/>
              </w:rPr>
            </w:pPr>
            <w:r w:rsidRPr="001A3691">
              <w:rPr>
                <w:lang w:val="fr-FR"/>
              </w:rPr>
              <w:t xml:space="preserve">Découvreur </w:t>
            </w:r>
          </w:p>
        </w:tc>
        <w:tc>
          <w:tcPr>
            <w:tcW w:w="2214" w:type="dxa"/>
            <w:tcBorders>
              <w:top w:val="single" w:sz="2" w:space="0" w:color="000000"/>
              <w:left w:val="single" w:sz="4"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rsidR="006A02CE" w:rsidRPr="001A3691" w:rsidRDefault="005A340A" w:rsidP="001A3691">
            <w:pPr>
              <w:pStyle w:val="Sansinterligne"/>
              <w:rPr>
                <w:lang w:val="fr-FR"/>
              </w:rPr>
            </w:pPr>
            <w:r w:rsidRPr="001A3691">
              <w:rPr>
                <w:lang w:val="fr-FR"/>
              </w:rPr>
              <w:t>S</w:t>
            </w:r>
            <w:r w:rsidR="00045E99" w:rsidRPr="001A3691">
              <w:rPr>
                <w:lang w:val="fr-FR"/>
              </w:rPr>
              <w:t>ensibilisation</w:t>
            </w:r>
          </w:p>
          <w:p w:rsidR="006A02CE" w:rsidRPr="001A3691" w:rsidRDefault="005A340A" w:rsidP="001A3691">
            <w:pPr>
              <w:pStyle w:val="Sansinterligne"/>
              <w:rPr>
                <w:lang w:val="fr-FR"/>
              </w:rPr>
            </w:pPr>
            <w:r w:rsidRPr="001A3691">
              <w:rPr>
                <w:lang w:val="fr-FR"/>
              </w:rPr>
              <w:t>Expérimentation</w:t>
            </w:r>
            <w:r w:rsidR="00045E99" w:rsidRPr="001A3691">
              <w:rPr>
                <w:lang w:val="fr-FR"/>
              </w:rPr>
              <w:t xml:space="preserve"> </w:t>
            </w:r>
          </w:p>
        </w:tc>
        <w:tc>
          <w:tcPr>
            <w:tcW w:w="192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rsidR="006A02CE" w:rsidRPr="001A3691" w:rsidRDefault="005A340A" w:rsidP="001A3691">
            <w:pPr>
              <w:pStyle w:val="Sansinterligne"/>
              <w:rPr>
                <w:lang w:val="fr-FR"/>
              </w:rPr>
            </w:pPr>
            <w:r w:rsidRPr="001A3691">
              <w:rPr>
                <w:lang w:val="fr-FR"/>
              </w:rPr>
              <w:t>S</w:t>
            </w:r>
            <w:r w:rsidR="00045E99" w:rsidRPr="001A3691">
              <w:rPr>
                <w:lang w:val="fr-FR"/>
              </w:rPr>
              <w:t xml:space="preserve">ensibilisation </w:t>
            </w:r>
          </w:p>
          <w:p w:rsidR="006A02CE" w:rsidRPr="001A3691" w:rsidRDefault="00045E99" w:rsidP="001A3691">
            <w:pPr>
              <w:pStyle w:val="Sansinterligne"/>
              <w:rPr>
                <w:lang w:val="fr-FR"/>
              </w:rPr>
            </w:pPr>
            <w:r w:rsidRPr="001A3691">
              <w:rPr>
                <w:lang w:val="fr-FR"/>
              </w:rPr>
              <w:t>Temps fort</w:t>
            </w:r>
          </w:p>
        </w:tc>
        <w:tc>
          <w:tcPr>
            <w:tcW w:w="192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rsidR="006A02CE" w:rsidRPr="001A3691" w:rsidRDefault="005A340A" w:rsidP="001A3691">
            <w:pPr>
              <w:pStyle w:val="Sansinterligne"/>
              <w:rPr>
                <w:lang w:val="fr-FR"/>
              </w:rPr>
            </w:pPr>
            <w:r w:rsidRPr="001A3691">
              <w:rPr>
                <w:lang w:val="fr-FR"/>
              </w:rPr>
              <w:t>A</w:t>
            </w:r>
            <w:r w:rsidR="00045E99" w:rsidRPr="001A3691">
              <w:rPr>
                <w:lang w:val="fr-FR"/>
              </w:rPr>
              <w:t>nimateur</w:t>
            </w:r>
          </w:p>
          <w:p w:rsidR="006A02CE" w:rsidRPr="001A3691" w:rsidRDefault="005A340A" w:rsidP="001A3691">
            <w:pPr>
              <w:pStyle w:val="Sansinterligne"/>
              <w:rPr>
                <w:lang w:val="fr-FR"/>
              </w:rPr>
            </w:pPr>
            <w:r w:rsidRPr="001A3691">
              <w:rPr>
                <w:lang w:val="fr-FR"/>
              </w:rPr>
              <w:t>P</w:t>
            </w:r>
            <w:r w:rsidR="00045E99" w:rsidRPr="001A3691">
              <w:rPr>
                <w:lang w:val="fr-FR"/>
              </w:rPr>
              <w:t xml:space="preserve">asseur </w:t>
            </w:r>
          </w:p>
        </w:tc>
        <w:tc>
          <w:tcPr>
            <w:tcW w:w="23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rsidR="006A02CE" w:rsidRPr="001A3691" w:rsidRDefault="005A340A" w:rsidP="001A3691">
            <w:pPr>
              <w:pStyle w:val="Sansinterligne"/>
              <w:rPr>
                <w:lang w:val="fr-FR"/>
              </w:rPr>
            </w:pPr>
            <w:r w:rsidRPr="001A3691">
              <w:rPr>
                <w:lang w:val="fr-FR"/>
              </w:rPr>
              <w:t>L</w:t>
            </w:r>
            <w:r w:rsidR="00045E99" w:rsidRPr="001A3691">
              <w:rPr>
                <w:lang w:val="fr-FR"/>
              </w:rPr>
              <w:t xml:space="preserve">âcher prise </w:t>
            </w:r>
          </w:p>
        </w:tc>
      </w:tr>
      <w:tr w:rsidR="006A02CE" w:rsidRPr="001A3691" w:rsidTr="001A3691">
        <w:tblPrEx>
          <w:shd w:val="clear" w:color="auto" w:fill="auto"/>
        </w:tblPrEx>
        <w:trPr>
          <w:cantSplit/>
          <w:trHeight w:val="725"/>
        </w:trPr>
        <w:tc>
          <w:tcPr>
            <w:tcW w:w="203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rsidR="006A02CE" w:rsidRPr="001A3691" w:rsidRDefault="00045E99" w:rsidP="001A3691">
            <w:pPr>
              <w:pStyle w:val="Sansinterligne"/>
              <w:rPr>
                <w:lang w:val="fr-FR"/>
              </w:rPr>
            </w:pPr>
            <w:r w:rsidRPr="001A3691">
              <w:rPr>
                <w:lang w:val="fr-FR"/>
              </w:rPr>
              <w:t xml:space="preserve">Interprète </w:t>
            </w:r>
          </w:p>
        </w:tc>
        <w:tc>
          <w:tcPr>
            <w:tcW w:w="2214" w:type="dxa"/>
            <w:tcBorders>
              <w:top w:val="single" w:sz="2" w:space="0" w:color="000000"/>
              <w:left w:val="single" w:sz="4"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rsidR="006A02CE" w:rsidRPr="001A3691" w:rsidRDefault="00045E99" w:rsidP="001A3691">
            <w:pPr>
              <w:pStyle w:val="Sansinterligne"/>
              <w:rPr>
                <w:lang w:val="fr-FR"/>
              </w:rPr>
            </w:pPr>
            <w:r w:rsidRPr="001A3691">
              <w:rPr>
                <w:lang w:val="fr-FR"/>
              </w:rPr>
              <w:t xml:space="preserve">Expérimentation </w:t>
            </w:r>
          </w:p>
          <w:p w:rsidR="006A02CE" w:rsidRPr="001A3691" w:rsidRDefault="00045E99" w:rsidP="001A3691">
            <w:pPr>
              <w:pStyle w:val="Sansinterligne"/>
              <w:rPr>
                <w:lang w:val="fr-FR"/>
              </w:rPr>
            </w:pPr>
            <w:r w:rsidRPr="001A3691">
              <w:rPr>
                <w:lang w:val="fr-FR"/>
              </w:rPr>
              <w:t>Pratique régulière</w:t>
            </w:r>
          </w:p>
        </w:tc>
        <w:tc>
          <w:tcPr>
            <w:tcW w:w="192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rsidR="006A02CE" w:rsidRPr="001A3691" w:rsidRDefault="00045E99" w:rsidP="001A3691">
            <w:pPr>
              <w:pStyle w:val="Sansinterligne"/>
              <w:rPr>
                <w:lang w:val="fr-FR"/>
              </w:rPr>
            </w:pPr>
            <w:r w:rsidRPr="001A3691">
              <w:rPr>
                <w:lang w:val="fr-FR"/>
              </w:rPr>
              <w:t xml:space="preserve">Pratique </w:t>
            </w:r>
          </w:p>
          <w:p w:rsidR="006A02CE" w:rsidRPr="001A3691" w:rsidRDefault="009304DB" w:rsidP="001A3691">
            <w:pPr>
              <w:pStyle w:val="Sansinterligne"/>
              <w:rPr>
                <w:lang w:val="fr-FR"/>
              </w:rPr>
            </w:pPr>
            <w:r>
              <w:rPr>
                <w:lang w:val="fr-FR"/>
              </w:rPr>
              <w:t>S</w:t>
            </w:r>
            <w:r w:rsidR="00045E99" w:rsidRPr="001A3691">
              <w:rPr>
                <w:lang w:val="fr-FR"/>
              </w:rPr>
              <w:t>ensibilisation</w:t>
            </w:r>
          </w:p>
          <w:p w:rsidR="006A02CE" w:rsidRPr="001A3691" w:rsidRDefault="00045E99" w:rsidP="001A3691">
            <w:pPr>
              <w:pStyle w:val="Sansinterligne"/>
              <w:rPr>
                <w:lang w:val="fr-FR"/>
              </w:rPr>
            </w:pPr>
            <w:r w:rsidRPr="001A3691">
              <w:rPr>
                <w:lang w:val="fr-FR"/>
              </w:rPr>
              <w:t>Temps fort</w:t>
            </w:r>
          </w:p>
        </w:tc>
        <w:tc>
          <w:tcPr>
            <w:tcW w:w="192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rsidR="006A02CE" w:rsidRPr="001A3691" w:rsidRDefault="009304DB" w:rsidP="001A3691">
            <w:pPr>
              <w:pStyle w:val="Sansinterligne"/>
              <w:rPr>
                <w:lang w:val="fr-FR"/>
              </w:rPr>
            </w:pPr>
            <w:r>
              <w:rPr>
                <w:lang w:val="fr-FR"/>
              </w:rPr>
              <w:t>A</w:t>
            </w:r>
            <w:r w:rsidR="00045E99" w:rsidRPr="001A3691">
              <w:rPr>
                <w:lang w:val="fr-FR"/>
              </w:rPr>
              <w:t xml:space="preserve">nimateur </w:t>
            </w:r>
          </w:p>
          <w:p w:rsidR="006A02CE" w:rsidRPr="001A3691" w:rsidRDefault="009304DB" w:rsidP="001A3691">
            <w:pPr>
              <w:pStyle w:val="Sansinterligne"/>
              <w:rPr>
                <w:lang w:val="fr-FR"/>
              </w:rPr>
            </w:pPr>
            <w:r>
              <w:rPr>
                <w:lang w:val="fr-FR"/>
              </w:rPr>
              <w:t>E</w:t>
            </w:r>
            <w:r w:rsidR="00045E99" w:rsidRPr="001A3691">
              <w:rPr>
                <w:lang w:val="fr-FR"/>
              </w:rPr>
              <w:t>xpert</w:t>
            </w:r>
          </w:p>
          <w:p w:rsidR="006A02CE" w:rsidRPr="001A3691" w:rsidRDefault="00045E99" w:rsidP="001A3691">
            <w:pPr>
              <w:pStyle w:val="Sansinterligne"/>
              <w:rPr>
                <w:lang w:val="fr-FR"/>
              </w:rPr>
            </w:pPr>
            <w:r w:rsidRPr="001A3691">
              <w:rPr>
                <w:lang w:val="fr-FR"/>
              </w:rPr>
              <w:t>Passeur</w:t>
            </w:r>
          </w:p>
        </w:tc>
        <w:tc>
          <w:tcPr>
            <w:tcW w:w="23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rsidR="006A02CE" w:rsidRPr="001A3691" w:rsidRDefault="005A340A" w:rsidP="001A3691">
            <w:pPr>
              <w:pStyle w:val="Sansinterligne"/>
              <w:rPr>
                <w:lang w:val="fr-FR"/>
              </w:rPr>
            </w:pPr>
            <w:r w:rsidRPr="001A3691">
              <w:rPr>
                <w:lang w:val="fr-FR"/>
              </w:rPr>
              <w:t>D</w:t>
            </w:r>
            <w:r w:rsidR="00045E99" w:rsidRPr="001A3691">
              <w:rPr>
                <w:lang w:val="fr-FR"/>
              </w:rPr>
              <w:t xml:space="preserve">’enseignement et de contrôle </w:t>
            </w:r>
          </w:p>
        </w:tc>
      </w:tr>
      <w:tr w:rsidR="006A02CE" w:rsidRPr="001A3691" w:rsidTr="001A3691">
        <w:tblPrEx>
          <w:shd w:val="clear" w:color="auto" w:fill="auto"/>
        </w:tblPrEx>
        <w:trPr>
          <w:cantSplit/>
          <w:trHeight w:val="485"/>
        </w:trPr>
        <w:tc>
          <w:tcPr>
            <w:tcW w:w="203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rsidR="006A02CE" w:rsidRPr="001A3691" w:rsidRDefault="00045E99" w:rsidP="001A3691">
            <w:pPr>
              <w:pStyle w:val="Sansinterligne"/>
              <w:rPr>
                <w:lang w:val="fr-FR"/>
              </w:rPr>
            </w:pPr>
            <w:r w:rsidRPr="001A3691">
              <w:rPr>
                <w:lang w:val="fr-FR"/>
              </w:rPr>
              <w:t xml:space="preserve">Médiateur </w:t>
            </w:r>
          </w:p>
        </w:tc>
        <w:tc>
          <w:tcPr>
            <w:tcW w:w="2214" w:type="dxa"/>
            <w:tcBorders>
              <w:top w:val="single" w:sz="2" w:space="0" w:color="000000"/>
              <w:left w:val="single" w:sz="4"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rsidR="006A02CE" w:rsidRPr="001A3691" w:rsidRDefault="00045E99" w:rsidP="001A3691">
            <w:pPr>
              <w:pStyle w:val="Sansinterligne"/>
              <w:rPr>
                <w:lang w:val="fr-FR"/>
              </w:rPr>
            </w:pPr>
            <w:r w:rsidRPr="001A3691">
              <w:rPr>
                <w:lang w:val="fr-FR"/>
              </w:rPr>
              <w:t xml:space="preserve">Ensemble des actions </w:t>
            </w:r>
          </w:p>
        </w:tc>
        <w:tc>
          <w:tcPr>
            <w:tcW w:w="192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rsidR="006A02CE" w:rsidRPr="001A3691" w:rsidRDefault="00045E99" w:rsidP="001A3691">
            <w:pPr>
              <w:pStyle w:val="Sansinterligne"/>
              <w:rPr>
                <w:lang w:val="fr-FR"/>
              </w:rPr>
            </w:pPr>
            <w:r w:rsidRPr="001A3691">
              <w:rPr>
                <w:lang w:val="fr-FR"/>
              </w:rPr>
              <w:t xml:space="preserve">Ensemble des propositions </w:t>
            </w:r>
          </w:p>
        </w:tc>
        <w:tc>
          <w:tcPr>
            <w:tcW w:w="192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rsidR="006A02CE" w:rsidRPr="001A3691" w:rsidRDefault="00045E99" w:rsidP="001A3691">
            <w:pPr>
              <w:pStyle w:val="Sansinterligne"/>
              <w:rPr>
                <w:lang w:val="fr-FR"/>
              </w:rPr>
            </w:pPr>
            <w:r w:rsidRPr="001A3691">
              <w:rPr>
                <w:lang w:val="fr-FR"/>
              </w:rPr>
              <w:t xml:space="preserve">Révélateur </w:t>
            </w:r>
          </w:p>
        </w:tc>
        <w:tc>
          <w:tcPr>
            <w:tcW w:w="23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rsidR="006A02CE" w:rsidRPr="001A3691" w:rsidRDefault="005A340A" w:rsidP="001A3691">
            <w:pPr>
              <w:pStyle w:val="Sansinterligne"/>
              <w:rPr>
                <w:lang w:val="fr-FR"/>
              </w:rPr>
            </w:pPr>
            <w:r w:rsidRPr="001A3691">
              <w:rPr>
                <w:lang w:val="fr-FR"/>
              </w:rPr>
              <w:t>D</w:t>
            </w:r>
            <w:r w:rsidR="00045E99" w:rsidRPr="001A3691">
              <w:rPr>
                <w:lang w:val="fr-FR"/>
              </w:rPr>
              <w:t xml:space="preserve">’accompagnement </w:t>
            </w:r>
          </w:p>
          <w:p w:rsidR="006A02CE" w:rsidRPr="001A3691" w:rsidRDefault="00045E99" w:rsidP="001A3691">
            <w:pPr>
              <w:pStyle w:val="Sansinterligne"/>
              <w:rPr>
                <w:lang w:val="fr-FR"/>
              </w:rPr>
            </w:pPr>
            <w:r w:rsidRPr="001A3691">
              <w:rPr>
                <w:lang w:val="fr-FR"/>
              </w:rPr>
              <w:t xml:space="preserve">et d’enseignement </w:t>
            </w:r>
          </w:p>
        </w:tc>
      </w:tr>
      <w:tr w:rsidR="006A02CE" w:rsidRPr="001A3691" w:rsidTr="001A3691">
        <w:tblPrEx>
          <w:shd w:val="clear" w:color="auto" w:fill="auto"/>
        </w:tblPrEx>
        <w:trPr>
          <w:cantSplit/>
          <w:trHeight w:val="1205"/>
        </w:trPr>
        <w:tc>
          <w:tcPr>
            <w:tcW w:w="203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rsidR="006A02CE" w:rsidRPr="001A3691" w:rsidRDefault="00045E99" w:rsidP="001A3691">
            <w:pPr>
              <w:pStyle w:val="Sansinterligne"/>
              <w:rPr>
                <w:lang w:val="fr-FR"/>
              </w:rPr>
            </w:pPr>
            <w:r w:rsidRPr="001A3691">
              <w:rPr>
                <w:lang w:val="fr-FR"/>
              </w:rPr>
              <w:t xml:space="preserve">Ingénieur </w:t>
            </w:r>
          </w:p>
        </w:tc>
        <w:tc>
          <w:tcPr>
            <w:tcW w:w="2214" w:type="dxa"/>
            <w:tcBorders>
              <w:top w:val="single" w:sz="2" w:space="0" w:color="000000"/>
              <w:left w:val="single" w:sz="4"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rsidR="006A02CE" w:rsidRPr="001A3691" w:rsidRDefault="005A340A" w:rsidP="001A3691">
            <w:pPr>
              <w:pStyle w:val="Sansinterligne"/>
              <w:rPr>
                <w:lang w:val="fr-FR"/>
              </w:rPr>
            </w:pPr>
            <w:r w:rsidRPr="001A3691">
              <w:rPr>
                <w:lang w:val="fr-FR"/>
              </w:rPr>
              <w:t>O</w:t>
            </w:r>
            <w:r w:rsidR="00045E99" w:rsidRPr="001A3691">
              <w:rPr>
                <w:lang w:val="fr-FR"/>
              </w:rPr>
              <w:t>bligation d’avoi</w:t>
            </w:r>
            <w:r w:rsidRPr="001A3691">
              <w:rPr>
                <w:lang w:val="fr-FR"/>
              </w:rPr>
              <w:t>r mis en relation les actions d</w:t>
            </w:r>
            <w:r w:rsidR="00045E99" w:rsidRPr="001A3691">
              <w:rPr>
                <w:lang w:val="fr-FR"/>
              </w:rPr>
              <w:t xml:space="preserve">’enrichissement, de sensibilisation, et </w:t>
            </w:r>
          </w:p>
          <w:p w:rsidR="006A02CE" w:rsidRPr="001A3691" w:rsidRDefault="00045E99" w:rsidP="001A3691">
            <w:pPr>
              <w:pStyle w:val="Sansinterligne"/>
              <w:rPr>
                <w:lang w:val="fr-FR"/>
              </w:rPr>
            </w:pPr>
            <w:r w:rsidRPr="001A3691">
              <w:rPr>
                <w:lang w:val="fr-FR"/>
              </w:rPr>
              <w:t xml:space="preserve">d’expérimentation </w:t>
            </w:r>
          </w:p>
        </w:tc>
        <w:tc>
          <w:tcPr>
            <w:tcW w:w="192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rsidR="006A02CE" w:rsidRPr="001A3691" w:rsidRDefault="005A340A" w:rsidP="001A3691">
            <w:pPr>
              <w:pStyle w:val="Sansinterligne"/>
              <w:rPr>
                <w:lang w:val="fr-FR"/>
              </w:rPr>
            </w:pPr>
            <w:r w:rsidRPr="001A3691">
              <w:rPr>
                <w:lang w:val="fr-FR"/>
              </w:rPr>
              <w:t>O</w:t>
            </w:r>
            <w:r w:rsidR="00045E99" w:rsidRPr="001A3691">
              <w:rPr>
                <w:lang w:val="fr-FR"/>
              </w:rPr>
              <w:t xml:space="preserve">bligation d’avoir rencontré l’ensemble des propositions </w:t>
            </w:r>
          </w:p>
        </w:tc>
        <w:tc>
          <w:tcPr>
            <w:tcW w:w="192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rsidR="006A02CE" w:rsidRPr="001A3691" w:rsidRDefault="005A340A" w:rsidP="001A3691">
            <w:pPr>
              <w:pStyle w:val="Sansinterligne"/>
              <w:rPr>
                <w:lang w:val="fr-FR"/>
              </w:rPr>
            </w:pPr>
            <w:r w:rsidRPr="001A3691">
              <w:rPr>
                <w:lang w:val="fr-FR"/>
              </w:rPr>
              <w:t>O</w:t>
            </w:r>
            <w:r w:rsidR="00045E99" w:rsidRPr="001A3691">
              <w:rPr>
                <w:lang w:val="fr-FR"/>
              </w:rPr>
              <w:t xml:space="preserve">bligation d’avoir rencontré l’ensemble des postures /propositions </w:t>
            </w:r>
          </w:p>
        </w:tc>
        <w:tc>
          <w:tcPr>
            <w:tcW w:w="23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rsidR="006A02CE" w:rsidRPr="001A3691" w:rsidRDefault="00045E99" w:rsidP="001A3691">
            <w:pPr>
              <w:pStyle w:val="Sansinterligne"/>
              <w:rPr>
                <w:lang w:val="fr-FR"/>
              </w:rPr>
            </w:pPr>
            <w:r w:rsidRPr="001A3691">
              <w:rPr>
                <w:lang w:val="fr-FR"/>
              </w:rPr>
              <w:t xml:space="preserve">Lâcher prise </w:t>
            </w:r>
          </w:p>
        </w:tc>
      </w:tr>
    </w:tbl>
    <w:p w:rsidR="006A02CE" w:rsidRDefault="006A02CE" w:rsidP="001A3691">
      <w:pPr>
        <w:pStyle w:val="Sansinterligne"/>
        <w:rPr>
          <w:lang w:val="fr-FR"/>
        </w:rPr>
      </w:pPr>
    </w:p>
    <w:p w:rsidR="00AF3655" w:rsidRDefault="00AF3655" w:rsidP="0057436F">
      <w:pPr>
        <w:pStyle w:val="Sansinterligne"/>
        <w:ind w:firstLine="720"/>
        <w:rPr>
          <w:lang w:val="fr-FR"/>
        </w:rPr>
      </w:pPr>
      <w:r>
        <w:rPr>
          <w:lang w:val="fr-FR"/>
        </w:rPr>
        <w:lastRenderedPageBreak/>
        <w:t xml:space="preserve">La posture ingénieur ne peut se concevoir que dans un parcours et pas dans une </w:t>
      </w:r>
      <w:r w:rsidR="0057436F">
        <w:rPr>
          <w:lang w:val="fr-FR"/>
        </w:rPr>
        <w:t>action</w:t>
      </w:r>
      <w:r>
        <w:rPr>
          <w:lang w:val="fr-FR"/>
        </w:rPr>
        <w:t xml:space="preserve"> isolée. </w:t>
      </w:r>
      <w:r w:rsidR="0057436F">
        <w:rPr>
          <w:lang w:val="fr-FR"/>
        </w:rPr>
        <w:t>La plupart des actions culturelles, chanter, danser, déclamer un texte… correspondent à des postures d’interprètes dans laquelle l’élève n’est pas en créativité. Il n’est possible d’arriver à cette posture que par un ensemble préalable qui permet à l’élève de donner du sens, d’avoir eu des retours réflexifs.</w:t>
      </w:r>
    </w:p>
    <w:p w:rsidR="0057436F" w:rsidRDefault="0057436F" w:rsidP="001A3691">
      <w:pPr>
        <w:pStyle w:val="Sansinterligne"/>
        <w:rPr>
          <w:lang w:val="fr-FR"/>
        </w:rPr>
      </w:pPr>
      <w:r>
        <w:rPr>
          <w:lang w:val="fr-FR"/>
        </w:rPr>
        <w:t>Ainsi un parcours construit par des équipes éducatives aboutit à ces situations de créativités élève associées à un lâcher-prise enseignant.</w:t>
      </w:r>
    </w:p>
    <w:p w:rsidR="00FD3BE1" w:rsidRDefault="00FD3BE1" w:rsidP="001A3691">
      <w:pPr>
        <w:pStyle w:val="Sansinterligne"/>
        <w:rPr>
          <w:lang w:val="fr-FR"/>
        </w:rPr>
      </w:pPr>
    </w:p>
    <w:p w:rsidR="00FD3BE1" w:rsidRDefault="00FD3BE1" w:rsidP="001A3691">
      <w:pPr>
        <w:pStyle w:val="Sansinterligne"/>
        <w:rPr>
          <w:lang w:val="fr-FR"/>
        </w:rPr>
      </w:pPr>
      <w:r>
        <w:rPr>
          <w:lang w:val="fr-FR"/>
        </w:rPr>
        <w:t>Au début l’élève fait confiance au professeur, à la fin le professeur fait confiance à l’élève.</w:t>
      </w:r>
    </w:p>
    <w:p w:rsidR="00FD3BE1" w:rsidRDefault="00FD3BE1" w:rsidP="001A3691">
      <w:pPr>
        <w:pStyle w:val="Sansinterligne"/>
        <w:rPr>
          <w:lang w:val="fr-FR"/>
        </w:rPr>
      </w:pPr>
    </w:p>
    <w:p w:rsidR="00FD3BE1" w:rsidRPr="001A3691" w:rsidRDefault="00FD3BE1" w:rsidP="001A3691">
      <w:pPr>
        <w:pStyle w:val="Sansinterligne"/>
        <w:rPr>
          <w:lang w:val="fr-FR"/>
        </w:rPr>
      </w:pPr>
    </w:p>
    <w:sectPr w:rsidR="00FD3BE1" w:rsidRPr="001A3691" w:rsidSect="005A340A">
      <w:footerReference w:type="default" r:id="rId8"/>
      <w:pgSz w:w="11900" w:h="16840"/>
      <w:pgMar w:top="720" w:right="720" w:bottom="720" w:left="720"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93C" w:rsidRDefault="004E393C">
      <w:r>
        <w:separator/>
      </w:r>
    </w:p>
  </w:endnote>
  <w:endnote w:type="continuationSeparator" w:id="0">
    <w:p w:rsidR="004E393C" w:rsidRDefault="004E3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2CE" w:rsidRPr="003B477A" w:rsidRDefault="003B477A" w:rsidP="003B477A">
    <w:pPr>
      <w:jc w:val="center"/>
      <w:rPr>
        <w:sz w:val="20"/>
        <w:szCs w:val="20"/>
      </w:rPr>
    </w:pPr>
    <w:r w:rsidRPr="003B477A">
      <w:rPr>
        <w:sz w:val="20"/>
        <w:szCs w:val="20"/>
      </w:rPr>
      <w:t xml:space="preserve">Démarche </w:t>
    </w:r>
    <w:proofErr w:type="spellStart"/>
    <w:r w:rsidRPr="003B477A">
      <w:rPr>
        <w:sz w:val="20"/>
        <w:szCs w:val="20"/>
      </w:rPr>
      <w:t>projet</w:t>
    </w:r>
    <w:proofErr w:type="spellEnd"/>
    <w:r w:rsidRPr="003B477A">
      <w:rPr>
        <w:sz w:val="20"/>
        <w:szCs w:val="20"/>
      </w:rPr>
      <w:t>, Marie Françoise Olivier, Thierry Delavet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93C" w:rsidRDefault="004E393C">
      <w:r>
        <w:separator/>
      </w:r>
    </w:p>
  </w:footnote>
  <w:footnote w:type="continuationSeparator" w:id="0">
    <w:p w:rsidR="004E393C" w:rsidRDefault="004E3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90DF8"/>
    <w:multiLevelType w:val="hybridMultilevel"/>
    <w:tmpl w:val="4FC257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643171"/>
    <w:multiLevelType w:val="hybridMultilevel"/>
    <w:tmpl w:val="F6026F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58D3892"/>
    <w:multiLevelType w:val="hybridMultilevel"/>
    <w:tmpl w:val="DBE69C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CF440A3"/>
    <w:multiLevelType w:val="hybridMultilevel"/>
    <w:tmpl w:val="DAE41D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2CE"/>
    <w:rsid w:val="00045E99"/>
    <w:rsid w:val="001942C7"/>
    <w:rsid w:val="001A3691"/>
    <w:rsid w:val="003B477A"/>
    <w:rsid w:val="004E393C"/>
    <w:rsid w:val="0057436F"/>
    <w:rsid w:val="005A340A"/>
    <w:rsid w:val="006A02CE"/>
    <w:rsid w:val="008B7DB8"/>
    <w:rsid w:val="00901ABD"/>
    <w:rsid w:val="009304DB"/>
    <w:rsid w:val="009D78A9"/>
    <w:rsid w:val="00AF3655"/>
    <w:rsid w:val="00CC3C27"/>
    <w:rsid w:val="00D52F60"/>
    <w:rsid w:val="00E519A8"/>
    <w:rsid w:val="00FD3B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491B37-3AE0-4765-991C-25311F91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w:hAnsi="Arial Unicode MS" w:cs="Arial Unicode MS"/>
      <w:color w:val="000000"/>
      <w:sz w:val="22"/>
      <w:szCs w:val="22"/>
    </w:rPr>
  </w:style>
  <w:style w:type="paragraph" w:customStyle="1" w:styleId="Pardfaut">
    <w:name w:val="Par défaut"/>
    <w:rPr>
      <w:rFonts w:ascii="Helvetica" w:hAnsi="Arial Unicode MS" w:cs="Arial Unicode MS"/>
      <w:color w:val="000000"/>
      <w:sz w:val="22"/>
      <w:szCs w:val="22"/>
    </w:rPr>
  </w:style>
  <w:style w:type="paragraph" w:customStyle="1" w:styleId="Styledetableau1">
    <w:name w:val="Style de tableau 1"/>
    <w:rPr>
      <w:rFonts w:ascii="Helvetica" w:eastAsia="Helvetica" w:hAnsi="Helvetica" w:cs="Helvetica"/>
      <w:b/>
      <w:bCs/>
      <w:color w:val="000000"/>
    </w:rPr>
  </w:style>
  <w:style w:type="paragraph" w:customStyle="1" w:styleId="Styledetableau2">
    <w:name w:val="Style de tableau 2"/>
    <w:rPr>
      <w:rFonts w:ascii="Helvetica" w:eastAsia="Helvetica" w:hAnsi="Helvetica" w:cs="Helvetica"/>
      <w:color w:val="000000"/>
    </w:rPr>
  </w:style>
  <w:style w:type="paragraph" w:styleId="Textedebulles">
    <w:name w:val="Balloon Text"/>
    <w:basedOn w:val="Normal"/>
    <w:link w:val="TextedebullesCar"/>
    <w:uiPriority w:val="99"/>
    <w:semiHidden/>
    <w:unhideWhenUsed/>
    <w:rsid w:val="005A340A"/>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340A"/>
    <w:rPr>
      <w:rFonts w:ascii="Segoe UI" w:hAnsi="Segoe UI" w:cs="Segoe UI"/>
      <w:sz w:val="18"/>
      <w:szCs w:val="18"/>
      <w:lang w:val="en-US" w:eastAsia="en-US"/>
    </w:rPr>
  </w:style>
  <w:style w:type="paragraph" w:styleId="Sansinterligne">
    <w:name w:val="No Spacing"/>
    <w:uiPriority w:val="1"/>
    <w:qFormat/>
    <w:rsid w:val="001A3691"/>
    <w:rPr>
      <w:sz w:val="24"/>
      <w:szCs w:val="24"/>
      <w:lang w:val="en-US" w:eastAsia="en-US"/>
    </w:rPr>
  </w:style>
  <w:style w:type="paragraph" w:styleId="En-tte">
    <w:name w:val="header"/>
    <w:basedOn w:val="Normal"/>
    <w:link w:val="En-tteCar"/>
    <w:uiPriority w:val="99"/>
    <w:unhideWhenUsed/>
    <w:rsid w:val="003B477A"/>
    <w:pPr>
      <w:tabs>
        <w:tab w:val="center" w:pos="4536"/>
        <w:tab w:val="right" w:pos="9072"/>
      </w:tabs>
    </w:pPr>
  </w:style>
  <w:style w:type="character" w:customStyle="1" w:styleId="En-tteCar">
    <w:name w:val="En-tête Car"/>
    <w:basedOn w:val="Policepardfaut"/>
    <w:link w:val="En-tte"/>
    <w:uiPriority w:val="99"/>
    <w:rsid w:val="003B477A"/>
    <w:rPr>
      <w:sz w:val="24"/>
      <w:szCs w:val="24"/>
      <w:lang w:val="en-US" w:eastAsia="en-US"/>
    </w:rPr>
  </w:style>
  <w:style w:type="paragraph" w:styleId="Pieddepage">
    <w:name w:val="footer"/>
    <w:basedOn w:val="Normal"/>
    <w:link w:val="PieddepageCar"/>
    <w:uiPriority w:val="99"/>
    <w:unhideWhenUsed/>
    <w:rsid w:val="003B477A"/>
    <w:pPr>
      <w:tabs>
        <w:tab w:val="center" w:pos="4536"/>
        <w:tab w:val="right" w:pos="9072"/>
      </w:tabs>
    </w:pPr>
  </w:style>
  <w:style w:type="character" w:customStyle="1" w:styleId="PieddepageCar">
    <w:name w:val="Pied de page Car"/>
    <w:basedOn w:val="Policepardfaut"/>
    <w:link w:val="Pieddepage"/>
    <w:uiPriority w:val="99"/>
    <w:rsid w:val="003B477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ducationdidactique.revues.org/5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502</Words>
  <Characters>2762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Thierry DELAVET</cp:lastModifiedBy>
  <cp:revision>2</cp:revision>
  <cp:lastPrinted>2014-05-15T16:01:00Z</cp:lastPrinted>
  <dcterms:created xsi:type="dcterms:W3CDTF">2022-05-24T13:24:00Z</dcterms:created>
  <dcterms:modified xsi:type="dcterms:W3CDTF">2022-05-24T13:24:00Z</dcterms:modified>
</cp:coreProperties>
</file>