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3237C" w:rsidRDefault="00000000">
      <w:pPr>
        <w:spacing w:after="0" w:line="240" w:lineRule="auto"/>
        <w:jc w:val="both"/>
        <w:rPr>
          <w:rFonts w:ascii="Cambria" w:eastAsia="Cambria" w:hAnsi="Cambria" w:cs="Cambria"/>
          <w:b/>
          <w:smallCaps/>
          <w:color w:val="222222"/>
          <w:sz w:val="36"/>
          <w:szCs w:val="36"/>
          <w:highlight w:val="white"/>
        </w:rPr>
      </w:pPr>
      <w:r>
        <w:rPr>
          <w:rFonts w:ascii="Cambria" w:eastAsia="Cambria" w:hAnsi="Cambria" w:cs="Cambria"/>
          <w:b/>
          <w:smallCaps/>
          <w:color w:val="222222"/>
          <w:sz w:val="36"/>
          <w:szCs w:val="36"/>
          <w:highlight w:val="white"/>
        </w:rPr>
        <w:t xml:space="preserve">LE PARTENARIAT POUR CONSTRUIRE DES PROCESSUS DE RE-TERRITORIALISATION AFIN DE LUTTER CONTRE L’ASSIGNATION SOCIALE </w:t>
      </w:r>
    </w:p>
    <w:p w14:paraId="00000002" w14:textId="77777777" w:rsidR="0073237C" w:rsidRDefault="0073237C">
      <w:pPr>
        <w:spacing w:after="0" w:line="240" w:lineRule="auto"/>
        <w:rPr>
          <w:rFonts w:ascii="Cambria" w:eastAsia="Cambria" w:hAnsi="Cambria" w:cs="Cambria"/>
          <w:i/>
          <w:color w:val="222222"/>
          <w:sz w:val="24"/>
          <w:szCs w:val="24"/>
          <w:highlight w:val="white"/>
        </w:rPr>
      </w:pPr>
    </w:p>
    <w:p w14:paraId="00000003" w14:textId="77777777" w:rsidR="0073237C" w:rsidRDefault="00000000">
      <w:pPr>
        <w:spacing w:after="0" w:line="240" w:lineRule="auto"/>
        <w:rPr>
          <w:rFonts w:ascii="Cambria" w:eastAsia="Cambria" w:hAnsi="Cambria" w:cs="Cambria"/>
          <w:sz w:val="24"/>
          <w:szCs w:val="24"/>
        </w:rPr>
      </w:pPr>
      <w:proofErr w:type="gramStart"/>
      <w:r>
        <w:rPr>
          <w:rFonts w:ascii="Cambria" w:eastAsia="Cambria" w:hAnsi="Cambria" w:cs="Cambria"/>
          <w:color w:val="222222"/>
          <w:sz w:val="24"/>
          <w:szCs w:val="24"/>
          <w:highlight w:val="white"/>
        </w:rPr>
        <w:t>par</w:t>
      </w:r>
      <w:proofErr w:type="gramEnd"/>
      <w:r>
        <w:rPr>
          <w:rFonts w:ascii="Cambria" w:eastAsia="Cambria" w:hAnsi="Cambria" w:cs="Cambria"/>
          <w:color w:val="222222"/>
          <w:sz w:val="24"/>
          <w:szCs w:val="24"/>
          <w:highlight w:val="white"/>
        </w:rPr>
        <w:t xml:space="preserve"> Carlo </w:t>
      </w:r>
      <w:proofErr w:type="spellStart"/>
      <w:r>
        <w:rPr>
          <w:rFonts w:ascii="Cambria" w:eastAsia="Cambria" w:hAnsi="Cambria" w:cs="Cambria"/>
          <w:color w:val="222222"/>
          <w:sz w:val="24"/>
          <w:szCs w:val="24"/>
          <w:highlight w:val="white"/>
        </w:rPr>
        <w:t>Colloca</w:t>
      </w:r>
      <w:proofErr w:type="spellEnd"/>
      <w:r>
        <w:rPr>
          <w:rFonts w:ascii="Cambria" w:eastAsia="Cambria" w:hAnsi="Cambria" w:cs="Cambria"/>
          <w:color w:val="222222"/>
          <w:sz w:val="24"/>
          <w:szCs w:val="24"/>
          <w:highlight w:val="white"/>
        </w:rPr>
        <w:t xml:space="preserve">, Licia Lipari, Valentina </w:t>
      </w:r>
      <w:proofErr w:type="spellStart"/>
      <w:r>
        <w:rPr>
          <w:rFonts w:ascii="Cambria" w:eastAsia="Cambria" w:hAnsi="Cambria" w:cs="Cambria"/>
          <w:color w:val="222222"/>
          <w:sz w:val="24"/>
          <w:szCs w:val="24"/>
          <w:highlight w:val="white"/>
        </w:rPr>
        <w:t>Pantaleo</w:t>
      </w:r>
      <w:proofErr w:type="spellEnd"/>
      <w:r>
        <w:rPr>
          <w:rFonts w:ascii="Cambria" w:eastAsia="Cambria" w:hAnsi="Cambria" w:cs="Cambria"/>
          <w:color w:val="222222"/>
          <w:sz w:val="24"/>
          <w:szCs w:val="24"/>
          <w:highlight w:val="white"/>
          <w:vertAlign w:val="superscript"/>
        </w:rPr>
        <w:footnoteReference w:id="1"/>
      </w:r>
    </w:p>
    <w:p w14:paraId="00000004" w14:textId="77777777" w:rsidR="0073237C" w:rsidRDefault="0073237C">
      <w:pPr>
        <w:spacing w:after="0" w:line="240" w:lineRule="auto"/>
        <w:jc w:val="both"/>
        <w:rPr>
          <w:rFonts w:ascii="Cambria" w:eastAsia="Cambria" w:hAnsi="Cambria" w:cs="Cambria"/>
          <w:sz w:val="24"/>
          <w:szCs w:val="24"/>
        </w:rPr>
      </w:pPr>
    </w:p>
    <w:p w14:paraId="00000005" w14:textId="77777777" w:rsidR="0073237C" w:rsidRDefault="0073237C">
      <w:pPr>
        <w:spacing w:after="0" w:line="240" w:lineRule="auto"/>
        <w:jc w:val="both"/>
        <w:rPr>
          <w:rFonts w:ascii="Cambria" w:eastAsia="Cambria" w:hAnsi="Cambria" w:cs="Cambria"/>
          <w:b/>
          <w:sz w:val="24"/>
          <w:szCs w:val="24"/>
        </w:rPr>
      </w:pPr>
    </w:p>
    <w:p w14:paraId="00000006" w14:textId="77777777" w:rsidR="0073237C" w:rsidRDefault="00000000">
      <w:pPr>
        <w:numPr>
          <w:ilvl w:val="0"/>
          <w:numId w:val="3"/>
        </w:num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 xml:space="preserve">Le rôle du partenariat dans le processus de </w:t>
      </w:r>
      <w:proofErr w:type="spellStart"/>
      <w:r>
        <w:rPr>
          <w:rFonts w:ascii="Cambria" w:eastAsia="Cambria" w:hAnsi="Cambria" w:cs="Cambria"/>
          <w:b/>
          <w:color w:val="000000"/>
          <w:sz w:val="24"/>
          <w:szCs w:val="24"/>
        </w:rPr>
        <w:t>re-territorialisation</w:t>
      </w:r>
      <w:proofErr w:type="spellEnd"/>
    </w:p>
    <w:p w14:paraId="00000007" w14:textId="77777777" w:rsidR="0073237C" w:rsidRDefault="0073237C">
      <w:pPr>
        <w:pBdr>
          <w:top w:val="nil"/>
          <w:left w:val="nil"/>
          <w:bottom w:val="nil"/>
          <w:right w:val="nil"/>
          <w:between w:val="nil"/>
        </w:pBdr>
        <w:spacing w:after="0" w:line="240" w:lineRule="auto"/>
        <w:ind w:left="720"/>
        <w:jc w:val="both"/>
        <w:rPr>
          <w:rFonts w:ascii="Cambria" w:eastAsia="Cambria" w:hAnsi="Cambria" w:cs="Cambria"/>
          <w:b/>
          <w:color w:val="000000"/>
          <w:sz w:val="24"/>
          <w:szCs w:val="24"/>
        </w:rPr>
      </w:pPr>
    </w:p>
    <w:p w14:paraId="00000008" w14:textId="77777777" w:rsidR="0073237C" w:rsidRDefault="00000000">
      <w:pPr>
        <w:spacing w:after="0" w:line="240" w:lineRule="auto"/>
        <w:ind w:firstLine="284"/>
        <w:jc w:val="both"/>
        <w:rPr>
          <w:rFonts w:ascii="Cambria" w:eastAsia="Cambria" w:hAnsi="Cambria" w:cs="Cambria"/>
          <w:color w:val="000000"/>
          <w:sz w:val="24"/>
          <w:szCs w:val="24"/>
        </w:rPr>
      </w:pPr>
      <w:r>
        <w:rPr>
          <w:rFonts w:ascii="Cambria" w:eastAsia="Cambria" w:hAnsi="Cambria" w:cs="Cambria"/>
          <w:color w:val="000000"/>
          <w:sz w:val="24"/>
          <w:szCs w:val="24"/>
        </w:rPr>
        <w:t>Dans la sociologie urbaine, le territoire est le produit d’un processus complexe de structuration par une communauté locale. Celle-ci agit sur un lieu physique-naturel et le transforme selon au moins trois procédés :</w:t>
      </w:r>
    </w:p>
    <w:p w14:paraId="00000009" w14:textId="77777777" w:rsidR="0073237C" w:rsidRDefault="00000000">
      <w:pPr>
        <w:numPr>
          <w:ilvl w:val="0"/>
          <w:numId w:val="2"/>
        </w:numPr>
        <w:pBdr>
          <w:top w:val="nil"/>
          <w:left w:val="nil"/>
          <w:bottom w:val="nil"/>
          <w:right w:val="nil"/>
          <w:between w:val="nil"/>
        </w:pBdr>
        <w:spacing w:after="0" w:line="240" w:lineRule="auto"/>
        <w:ind w:left="284" w:hanging="284"/>
        <w:jc w:val="both"/>
        <w:rPr>
          <w:rFonts w:ascii="Cambria" w:eastAsia="Cambria" w:hAnsi="Cambria" w:cs="Cambria"/>
          <w:color w:val="000000"/>
          <w:sz w:val="24"/>
          <w:szCs w:val="24"/>
        </w:rPr>
      </w:pPr>
      <w:proofErr w:type="gramStart"/>
      <w:r>
        <w:rPr>
          <w:rFonts w:ascii="Cambria" w:eastAsia="Cambria" w:hAnsi="Cambria" w:cs="Cambria"/>
          <w:color w:val="000000"/>
          <w:sz w:val="24"/>
          <w:szCs w:val="24"/>
        </w:rPr>
        <w:t>en</w:t>
      </w:r>
      <w:proofErr w:type="gramEnd"/>
      <w:r>
        <w:rPr>
          <w:rFonts w:ascii="Cambria" w:eastAsia="Cambria" w:hAnsi="Cambria" w:cs="Cambria"/>
          <w:color w:val="000000"/>
          <w:sz w:val="24"/>
          <w:szCs w:val="24"/>
        </w:rPr>
        <w:t xml:space="preserve"> fixant des limites, en attribuant des significations, des symboles et de la valeur aux ressources;</w:t>
      </w:r>
    </w:p>
    <w:p w14:paraId="0000000A" w14:textId="77777777" w:rsidR="0073237C" w:rsidRDefault="00000000">
      <w:pPr>
        <w:numPr>
          <w:ilvl w:val="0"/>
          <w:numId w:val="2"/>
        </w:numPr>
        <w:pBdr>
          <w:top w:val="nil"/>
          <w:left w:val="nil"/>
          <w:bottom w:val="nil"/>
          <w:right w:val="nil"/>
          <w:between w:val="nil"/>
        </w:pBdr>
        <w:spacing w:after="0" w:line="240" w:lineRule="auto"/>
        <w:ind w:left="284" w:hanging="284"/>
        <w:jc w:val="both"/>
        <w:rPr>
          <w:rFonts w:ascii="Cambria" w:eastAsia="Cambria" w:hAnsi="Cambria" w:cs="Cambria"/>
          <w:color w:val="000000"/>
          <w:sz w:val="24"/>
          <w:szCs w:val="24"/>
        </w:rPr>
      </w:pPr>
      <w:proofErr w:type="gramStart"/>
      <w:r>
        <w:rPr>
          <w:rFonts w:ascii="Cambria" w:eastAsia="Cambria" w:hAnsi="Cambria" w:cs="Cambria"/>
          <w:color w:val="000000"/>
          <w:sz w:val="24"/>
          <w:szCs w:val="24"/>
        </w:rPr>
        <w:t>en</w:t>
      </w:r>
      <w:proofErr w:type="gramEnd"/>
      <w:r>
        <w:rPr>
          <w:rFonts w:ascii="Cambria" w:eastAsia="Cambria" w:hAnsi="Cambria" w:cs="Cambria"/>
          <w:color w:val="000000"/>
          <w:sz w:val="24"/>
          <w:szCs w:val="24"/>
        </w:rPr>
        <w:t xml:space="preserve"> structurant et organisant l’espace en définissant ses fonctions et hiérarchies;</w:t>
      </w:r>
    </w:p>
    <w:p w14:paraId="0000000B" w14:textId="77777777" w:rsidR="0073237C" w:rsidRDefault="00000000">
      <w:pPr>
        <w:numPr>
          <w:ilvl w:val="0"/>
          <w:numId w:val="2"/>
        </w:numPr>
        <w:pBdr>
          <w:top w:val="nil"/>
          <w:left w:val="nil"/>
          <w:bottom w:val="nil"/>
          <w:right w:val="nil"/>
          <w:between w:val="nil"/>
        </w:pBdr>
        <w:spacing w:after="0" w:line="240" w:lineRule="auto"/>
        <w:ind w:left="284" w:hanging="284"/>
        <w:jc w:val="both"/>
        <w:rPr>
          <w:rFonts w:ascii="Cambria" w:eastAsia="Cambria" w:hAnsi="Cambria" w:cs="Cambria"/>
          <w:color w:val="000000"/>
          <w:sz w:val="24"/>
          <w:szCs w:val="24"/>
        </w:rPr>
      </w:pPr>
      <w:proofErr w:type="gramStart"/>
      <w:r>
        <w:rPr>
          <w:rFonts w:ascii="Cambria" w:eastAsia="Cambria" w:hAnsi="Cambria" w:cs="Cambria"/>
          <w:color w:val="000000"/>
          <w:sz w:val="24"/>
          <w:szCs w:val="24"/>
        </w:rPr>
        <w:t>en</w:t>
      </w:r>
      <w:proofErr w:type="gramEnd"/>
      <w:r>
        <w:rPr>
          <w:rFonts w:ascii="Cambria" w:eastAsia="Cambria" w:hAnsi="Cambria" w:cs="Cambria"/>
          <w:color w:val="000000"/>
          <w:sz w:val="24"/>
          <w:szCs w:val="24"/>
        </w:rPr>
        <w:t xml:space="preserve"> instituant des modalités d’utilisation ou de non-utilisation du sol par des signes et des règles.</w:t>
      </w:r>
    </w:p>
    <w:p w14:paraId="0000000C" w14:textId="77777777" w:rsidR="0073237C" w:rsidRDefault="00000000">
      <w:pPr>
        <w:spacing w:after="0" w:line="240" w:lineRule="auto"/>
        <w:ind w:firstLine="284"/>
        <w:jc w:val="both"/>
        <w:rPr>
          <w:rFonts w:ascii="Cambria" w:eastAsia="Cambria" w:hAnsi="Cambria" w:cs="Cambria"/>
          <w:color w:val="000000"/>
          <w:sz w:val="24"/>
          <w:szCs w:val="24"/>
        </w:rPr>
      </w:pPr>
      <w:r>
        <w:rPr>
          <w:rFonts w:ascii="Cambria" w:eastAsia="Cambria" w:hAnsi="Cambria" w:cs="Cambria"/>
          <w:color w:val="000000"/>
          <w:sz w:val="24"/>
          <w:szCs w:val="24"/>
        </w:rPr>
        <w:t>Dans cette perspective, le territoire se compose de différentes dimensions – sociale, culturelle, économique, politique, administrative, environnementale – interconnectées (</w:t>
      </w:r>
      <w:proofErr w:type="spellStart"/>
      <w:r>
        <w:rPr>
          <w:rFonts w:ascii="Cambria" w:eastAsia="Cambria" w:hAnsi="Cambria" w:cs="Cambria"/>
          <w:color w:val="000000"/>
          <w:sz w:val="24"/>
          <w:szCs w:val="24"/>
        </w:rPr>
        <w:t>Osti</w:t>
      </w:r>
      <w:proofErr w:type="spellEnd"/>
      <w:r>
        <w:rPr>
          <w:rFonts w:ascii="Cambria" w:eastAsia="Cambria" w:hAnsi="Cambria" w:cs="Cambria"/>
          <w:color w:val="000000"/>
          <w:sz w:val="24"/>
          <w:szCs w:val="24"/>
        </w:rPr>
        <w:t xml:space="preserve"> 2013). Ce qui permet la valorisation réciproque des composantes territoriales d’une zone, c’est le capital social, soit l’ensemble des acteurs opérant dans une zone spécifique dans le but de promouvoir un développement local durable. Cela ne peut se réaliser qu’en réévaluant les aspects spécifiques et l’unicité d’un territoire. Le territoire devient ainsi le fruit d’une volonté collective d’agir ensemble pour la construction de projets partagés, capables de reproduire le capital social territorial et de préserver l’identité de l’aire.</w:t>
      </w:r>
    </w:p>
    <w:p w14:paraId="0000000D" w14:textId="77777777" w:rsidR="0073237C" w:rsidRDefault="00000000">
      <w:pPr>
        <w:spacing w:after="0" w:line="240" w:lineRule="auto"/>
        <w:ind w:firstLine="284"/>
        <w:jc w:val="both"/>
        <w:rPr>
          <w:rFonts w:ascii="Cambria" w:eastAsia="Cambria" w:hAnsi="Cambria" w:cs="Cambria"/>
          <w:color w:val="000000"/>
          <w:sz w:val="24"/>
          <w:szCs w:val="24"/>
        </w:rPr>
      </w:pPr>
      <w:r>
        <w:rPr>
          <w:rFonts w:ascii="Cambria" w:eastAsia="Cambria" w:hAnsi="Cambria" w:cs="Cambria"/>
          <w:color w:val="000000"/>
          <w:sz w:val="24"/>
          <w:szCs w:val="24"/>
        </w:rPr>
        <w:t xml:space="preserve">Ce processus de transformation de l’environnement physique-naturel en artefact humain est défini comme territorialisation et repose sur une relation dialogique entre la société et l’environnement (Turco 2007, </w:t>
      </w:r>
      <w:proofErr w:type="spellStart"/>
      <w:r>
        <w:rPr>
          <w:rFonts w:ascii="Cambria" w:eastAsia="Cambria" w:hAnsi="Cambria" w:cs="Cambria"/>
          <w:color w:val="000000"/>
          <w:sz w:val="24"/>
          <w:szCs w:val="24"/>
        </w:rPr>
        <w:t>Battaglini</w:t>
      </w:r>
      <w:proofErr w:type="spellEnd"/>
      <w:r>
        <w:rPr>
          <w:rFonts w:ascii="Cambria" w:eastAsia="Cambria" w:hAnsi="Cambria" w:cs="Cambria"/>
          <w:color w:val="000000"/>
          <w:sz w:val="24"/>
          <w:szCs w:val="24"/>
        </w:rPr>
        <w:t xml:space="preserve"> 2014). Comme on peut le déduire, le processus de territorialisation est évolutif, influencé par les changements historiques, écologiques, politiques, démographiques, économiques, technologiques, etc.</w:t>
      </w:r>
    </w:p>
    <w:p w14:paraId="0000000E" w14:textId="77777777" w:rsidR="0073237C" w:rsidRDefault="00000000">
      <w:pPr>
        <w:spacing w:after="0" w:line="240" w:lineRule="auto"/>
        <w:ind w:firstLine="284"/>
        <w:jc w:val="both"/>
        <w:rPr>
          <w:rFonts w:ascii="Cambria" w:eastAsia="Cambria" w:hAnsi="Cambria" w:cs="Cambria"/>
          <w:color w:val="000000"/>
          <w:sz w:val="24"/>
          <w:szCs w:val="24"/>
        </w:rPr>
      </w:pPr>
      <w:r>
        <w:rPr>
          <w:rFonts w:ascii="Cambria" w:eastAsia="Cambria" w:hAnsi="Cambria" w:cs="Cambria"/>
          <w:color w:val="000000"/>
          <w:sz w:val="24"/>
          <w:szCs w:val="24"/>
        </w:rPr>
        <w:t>Les événements récents liés à la pandémie de Covid-19 comptent parmi les grands bouleversements qui ont généré des fractures et fait émerger de nouveaux besoins et des vulnérabilités sociales. Les territoires ont dû affronter des problématiques déjà connues mais amplifiées par la pandémie, telles que la pauvreté et les inégalités socio-territoriales.</w:t>
      </w:r>
    </w:p>
    <w:p w14:paraId="0000000F" w14:textId="77777777" w:rsidR="0073237C" w:rsidRDefault="00000000">
      <w:pPr>
        <w:spacing w:after="0" w:line="240" w:lineRule="auto"/>
        <w:ind w:firstLine="284"/>
        <w:jc w:val="both"/>
        <w:rPr>
          <w:rFonts w:ascii="Cambria" w:eastAsia="Cambria" w:hAnsi="Cambria" w:cs="Cambria"/>
          <w:color w:val="000000"/>
          <w:sz w:val="24"/>
          <w:szCs w:val="24"/>
        </w:rPr>
      </w:pPr>
      <w:r>
        <w:rPr>
          <w:rFonts w:ascii="Cambria" w:eastAsia="Cambria" w:hAnsi="Cambria" w:cs="Cambria"/>
          <w:color w:val="000000"/>
          <w:sz w:val="24"/>
          <w:szCs w:val="24"/>
        </w:rPr>
        <w:lastRenderedPageBreak/>
        <w:t xml:space="preserve">En Italie, le rapport de l’association Con i </w:t>
      </w:r>
      <w:proofErr w:type="spellStart"/>
      <w:r>
        <w:rPr>
          <w:rFonts w:ascii="Cambria" w:eastAsia="Cambria" w:hAnsi="Cambria" w:cs="Cambria"/>
          <w:color w:val="000000"/>
          <w:sz w:val="24"/>
          <w:szCs w:val="24"/>
        </w:rPr>
        <w:t>Bambini</w:t>
      </w:r>
      <w:proofErr w:type="spellEnd"/>
      <w:r>
        <w:rPr>
          <w:rFonts w:ascii="Cambria" w:eastAsia="Cambria" w:hAnsi="Cambria" w:cs="Cambria"/>
          <w:color w:val="000000"/>
          <w:sz w:val="24"/>
          <w:szCs w:val="24"/>
        </w:rPr>
        <w:t xml:space="preserve"> (2022) dresse le portrait d’une société où près de 1,4 million de mineurs vivent dans la pauvreté absolue, tandis que 2,2 millions vivent dans la pauvreté relative. La fragilité éducative s’enracine dans ce contexte de déprivation, affectant non seulement les individus, mais aussi l’avenir et le développement de l’ensemble du pays. Les territoires les moins bien pourvus en services, comme la Sicile et, plus généralement, le Sud de l’Italie, sont souvent ceux qui présentent un fort degré d’inégalités et de marginalisation sociale. À titre d’exemple, 12,7% des étudiants italiens n’atteignent pas le diplôme, abandonnant prématurément leurs études ; ce chiffre atteint 15% dans le Sud. Une des conséquences les plus dramatiques de la pandémie a été l’augmentation du décrochage scolaire implicite – terme désignant la proportion d’élèves qui terminent leur parcours scolaire avec des compétences de base insuffisantes dans toutes les matières. Selon les données de </w:t>
      </w:r>
      <w:r>
        <w:rPr>
          <w:rFonts w:ascii="Cambria" w:eastAsia="Cambria" w:hAnsi="Cambria" w:cs="Cambria"/>
          <w:i/>
          <w:color w:val="000000"/>
          <w:sz w:val="24"/>
          <w:szCs w:val="24"/>
        </w:rPr>
        <w:t xml:space="preserve">Con i </w:t>
      </w:r>
      <w:proofErr w:type="spellStart"/>
      <w:r>
        <w:rPr>
          <w:rFonts w:ascii="Cambria" w:eastAsia="Cambria" w:hAnsi="Cambria" w:cs="Cambria"/>
          <w:i/>
          <w:color w:val="000000"/>
          <w:sz w:val="24"/>
          <w:szCs w:val="24"/>
        </w:rPr>
        <w:t>Bambini</w:t>
      </w:r>
      <w:proofErr w:type="spellEnd"/>
      <w:r>
        <w:rPr>
          <w:rFonts w:ascii="Cambria" w:eastAsia="Cambria" w:hAnsi="Cambria" w:cs="Cambria"/>
          <w:color w:val="000000"/>
          <w:sz w:val="24"/>
          <w:szCs w:val="24"/>
        </w:rPr>
        <w:t>, le pourcentage de jeunes présentant des compétences insuffisantes est passé de 7,5% en 2019 à 9,8% en 2021.</w:t>
      </w:r>
    </w:p>
    <w:p w14:paraId="00000010" w14:textId="77777777" w:rsidR="0073237C" w:rsidRDefault="00000000">
      <w:pPr>
        <w:spacing w:after="0" w:line="240" w:lineRule="auto"/>
        <w:ind w:firstLine="284"/>
        <w:jc w:val="both"/>
        <w:rPr>
          <w:rFonts w:ascii="Cambria" w:eastAsia="Cambria" w:hAnsi="Cambria" w:cs="Cambria"/>
          <w:color w:val="000000"/>
          <w:sz w:val="24"/>
          <w:szCs w:val="24"/>
        </w:rPr>
      </w:pPr>
      <w:r>
        <w:rPr>
          <w:rFonts w:ascii="Cambria" w:eastAsia="Cambria" w:hAnsi="Cambria" w:cs="Cambria"/>
          <w:color w:val="000000"/>
          <w:sz w:val="24"/>
          <w:szCs w:val="24"/>
        </w:rPr>
        <w:t>Face à ces données, il semble que les politiques publiques se contentent de faire de l’école un bouc émissaire, sans chercher à comprendre comment le contexte socio-culturel extrascolaire alimente en réalité les phénomènes de fragilité éducative et de décrochage scolaire (</w:t>
      </w:r>
      <w:proofErr w:type="spellStart"/>
      <w:r>
        <w:rPr>
          <w:rFonts w:ascii="Cambria" w:eastAsia="Cambria" w:hAnsi="Cambria" w:cs="Cambria"/>
          <w:color w:val="000000"/>
          <w:sz w:val="24"/>
          <w:szCs w:val="24"/>
        </w:rPr>
        <w:t>Giancola</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Salmieri</w:t>
      </w:r>
      <w:proofErr w:type="spellEnd"/>
      <w:r>
        <w:rPr>
          <w:rFonts w:ascii="Cambria" w:eastAsia="Cambria" w:hAnsi="Cambria" w:cs="Cambria"/>
          <w:color w:val="000000"/>
          <w:sz w:val="24"/>
          <w:szCs w:val="24"/>
        </w:rPr>
        <w:t xml:space="preserve"> 2023).</w:t>
      </w:r>
    </w:p>
    <w:p w14:paraId="00000011" w14:textId="77777777" w:rsidR="0073237C" w:rsidRDefault="00000000">
      <w:pPr>
        <w:spacing w:after="0" w:line="240" w:lineRule="auto"/>
        <w:ind w:firstLine="284"/>
        <w:jc w:val="both"/>
        <w:rPr>
          <w:rFonts w:ascii="Cambria" w:eastAsia="Cambria" w:hAnsi="Cambria" w:cs="Cambria"/>
          <w:color w:val="000000"/>
          <w:sz w:val="24"/>
          <w:szCs w:val="24"/>
        </w:rPr>
      </w:pPr>
      <w:r>
        <w:rPr>
          <w:rFonts w:ascii="Cambria" w:eastAsia="Cambria" w:hAnsi="Cambria" w:cs="Cambria"/>
          <w:color w:val="000000"/>
          <w:sz w:val="24"/>
          <w:szCs w:val="24"/>
        </w:rPr>
        <w:t>Pour traiter ces questions, il est nécessaire d’agir à différentes échelles territoriales, de la macro-échelle (européenne/internationale) à la micro-échelle (urbaine, de quartier).</w:t>
      </w:r>
    </w:p>
    <w:p w14:paraId="00000012" w14:textId="77777777" w:rsidR="0073237C" w:rsidRDefault="00000000">
      <w:pPr>
        <w:spacing w:after="0" w:line="240" w:lineRule="auto"/>
        <w:ind w:firstLine="284"/>
        <w:jc w:val="both"/>
        <w:rPr>
          <w:rFonts w:ascii="Cambria" w:eastAsia="Cambria" w:hAnsi="Cambria" w:cs="Cambria"/>
          <w:color w:val="000000"/>
          <w:sz w:val="24"/>
          <w:szCs w:val="24"/>
        </w:rPr>
      </w:pPr>
      <w:r>
        <w:rPr>
          <w:rFonts w:ascii="Cambria" w:eastAsia="Cambria" w:hAnsi="Cambria" w:cs="Cambria"/>
          <w:color w:val="000000"/>
          <w:sz w:val="24"/>
          <w:szCs w:val="24"/>
        </w:rPr>
        <w:t xml:space="preserve">À l’échelle micro/locale, il s’agit d’engager un processus de </w:t>
      </w:r>
      <w:proofErr w:type="spellStart"/>
      <w:r>
        <w:rPr>
          <w:rFonts w:ascii="Cambria" w:eastAsia="Cambria" w:hAnsi="Cambria" w:cs="Cambria"/>
          <w:color w:val="000000"/>
          <w:sz w:val="24"/>
          <w:szCs w:val="24"/>
        </w:rPr>
        <w:t>re-territorialisation</w:t>
      </w:r>
      <w:proofErr w:type="spellEnd"/>
      <w:r>
        <w:rPr>
          <w:rFonts w:ascii="Cambria" w:eastAsia="Cambria" w:hAnsi="Cambria" w:cs="Cambria"/>
          <w:color w:val="000000"/>
          <w:sz w:val="24"/>
          <w:szCs w:val="24"/>
        </w:rPr>
        <w:t>, soit une redécouverte du territoire à travers la réappropriation de ses ressources spécifiques, matérielles et immatérielles, avec l’implication des jeunes. Cela suppose la capacité de favoriser au maximum les connexions entre le territoire en tant que patrimoine et le territoire en tant que projet, en démontrant une aptitude à reconnaître les éléments spécifiques et à promouvoir des projets cohérents. Il devient nécessaire de promouvoir une réponse collective fondée sur des relations dynamiques entre acteurs, lieux, institutions et ressources territoriales afin de lutter contre les problématiques sociales les plus complexes, parmi lesquelles la fragilité éducative et le décrochage scolaire.</w:t>
      </w:r>
    </w:p>
    <w:p w14:paraId="5603F6B7" w14:textId="77777777" w:rsidR="00347BE9" w:rsidRPr="00347BE9" w:rsidRDefault="00347BE9">
      <w:pPr>
        <w:spacing w:after="0" w:line="240" w:lineRule="auto"/>
        <w:ind w:firstLine="284"/>
        <w:jc w:val="both"/>
        <w:rPr>
          <w:rFonts w:ascii="Cambria" w:eastAsia="Cambria" w:hAnsi="Cambria" w:cs="Cambria"/>
          <w:color w:val="000000" w:themeColor="text1"/>
          <w:sz w:val="24"/>
          <w:szCs w:val="24"/>
        </w:rPr>
      </w:pPr>
      <w:r w:rsidRPr="00347BE9">
        <w:rPr>
          <w:rFonts w:ascii="Cambria" w:eastAsia="Cambria" w:hAnsi="Cambria" w:cs="Cambria"/>
          <w:color w:val="000000" w:themeColor="text1"/>
          <w:sz w:val="24"/>
          <w:szCs w:val="24"/>
        </w:rPr>
        <w:t>Selon la définition bien connue de Deleuze et Guattari, les processus de déterritorialisation et de reterritorialisation permettent d'imaginer de nouvelles reconfigurations territoriales en faisant appel, bien souvent, à des énergies sous-jacentes ou cachées. L'activation de nouvelles connexions et de nouveaux liens fait naître un potentiel transformateur et créatif dans les territoires, préfigurant ainsi des scénarios imprévus.</w:t>
      </w:r>
    </w:p>
    <w:p w14:paraId="00000013" w14:textId="74615B99" w:rsidR="0073237C" w:rsidRDefault="00000000">
      <w:pPr>
        <w:spacing w:after="0" w:line="240" w:lineRule="auto"/>
        <w:ind w:firstLine="284"/>
        <w:jc w:val="both"/>
        <w:rPr>
          <w:rFonts w:ascii="Cambria" w:eastAsia="Cambria" w:hAnsi="Cambria" w:cs="Cambria"/>
          <w:color w:val="000000"/>
          <w:sz w:val="24"/>
          <w:szCs w:val="24"/>
        </w:rPr>
      </w:pPr>
      <w:r>
        <w:rPr>
          <w:rFonts w:ascii="Cambria" w:eastAsia="Cambria" w:hAnsi="Cambria" w:cs="Cambria"/>
          <w:color w:val="000000"/>
          <w:sz w:val="24"/>
          <w:szCs w:val="24"/>
        </w:rPr>
        <w:lastRenderedPageBreak/>
        <w:t xml:space="preserve">Dans cette direction s’engage le partenariat – composé de l’Université, du Lycée </w:t>
      </w:r>
      <w:proofErr w:type="spellStart"/>
      <w:r>
        <w:rPr>
          <w:rFonts w:ascii="Cambria" w:eastAsia="Cambria" w:hAnsi="Cambria" w:cs="Cambria"/>
          <w:color w:val="000000"/>
          <w:sz w:val="24"/>
          <w:szCs w:val="24"/>
        </w:rPr>
        <w:t>Turrisi</w:t>
      </w:r>
      <w:proofErr w:type="spellEnd"/>
      <w:r>
        <w:rPr>
          <w:rFonts w:ascii="Cambria" w:eastAsia="Cambria" w:hAnsi="Cambria" w:cs="Cambria"/>
          <w:color w:val="000000"/>
          <w:sz w:val="24"/>
          <w:szCs w:val="24"/>
        </w:rPr>
        <w:t xml:space="preserve"> Colonna et du </w:t>
      </w:r>
      <w:proofErr w:type="spellStart"/>
      <w:r>
        <w:rPr>
          <w:rFonts w:ascii="Cambria" w:eastAsia="Cambria" w:hAnsi="Cambria" w:cs="Cambria"/>
          <w:color w:val="000000"/>
          <w:sz w:val="24"/>
          <w:szCs w:val="24"/>
        </w:rPr>
        <w:t>Farm</w:t>
      </w:r>
      <w:proofErr w:type="spellEnd"/>
      <w:r>
        <w:rPr>
          <w:rFonts w:ascii="Cambria" w:eastAsia="Cambria" w:hAnsi="Cambria" w:cs="Cambria"/>
          <w:color w:val="000000"/>
          <w:sz w:val="24"/>
          <w:szCs w:val="24"/>
        </w:rPr>
        <w:t xml:space="preserve"> Cultural Park </w:t>
      </w:r>
      <w:r>
        <w:rPr>
          <w:rFonts w:ascii="Cambria" w:eastAsia="Cambria" w:hAnsi="Cambria" w:cs="Cambria"/>
          <w:color w:val="000000"/>
          <w:sz w:val="24"/>
          <w:szCs w:val="24"/>
          <w:vertAlign w:val="superscript"/>
        </w:rPr>
        <w:footnoteReference w:id="2"/>
      </w:r>
      <w:r>
        <w:rPr>
          <w:rFonts w:ascii="Cambria" w:eastAsia="Cambria" w:hAnsi="Cambria" w:cs="Cambria"/>
          <w:color w:val="000000"/>
          <w:sz w:val="24"/>
          <w:szCs w:val="24"/>
        </w:rPr>
        <w:t xml:space="preserve">– dans le but de lutter contre la fragilité éducative et le décrochage scolaire à Catane par des moyens innovants. </w:t>
      </w:r>
    </w:p>
    <w:p w14:paraId="00000014" w14:textId="77777777" w:rsidR="0073237C" w:rsidRDefault="00000000">
      <w:pPr>
        <w:spacing w:after="0" w:line="240" w:lineRule="auto"/>
        <w:ind w:firstLine="284"/>
        <w:jc w:val="both"/>
        <w:rPr>
          <w:rFonts w:ascii="Cambria" w:eastAsia="Cambria" w:hAnsi="Cambria" w:cs="Cambria"/>
          <w:sz w:val="24"/>
          <w:szCs w:val="24"/>
        </w:rPr>
      </w:pPr>
      <w:r>
        <w:rPr>
          <w:rFonts w:ascii="Cambria" w:eastAsia="Cambria" w:hAnsi="Cambria" w:cs="Cambria"/>
          <w:sz w:val="24"/>
          <w:szCs w:val="24"/>
        </w:rPr>
        <w:t xml:space="preserve">Pour contribuer à la </w:t>
      </w:r>
      <w:proofErr w:type="spellStart"/>
      <w:r>
        <w:rPr>
          <w:rFonts w:ascii="Cambria" w:eastAsia="Cambria" w:hAnsi="Cambria" w:cs="Cambria"/>
          <w:sz w:val="24"/>
          <w:szCs w:val="24"/>
        </w:rPr>
        <w:t>re-territorialisation</w:t>
      </w:r>
      <w:proofErr w:type="spellEnd"/>
      <w:r>
        <w:rPr>
          <w:rFonts w:ascii="Cambria" w:eastAsia="Cambria" w:hAnsi="Cambria" w:cs="Cambria"/>
          <w:sz w:val="24"/>
          <w:szCs w:val="24"/>
        </w:rPr>
        <w:t>, le partenariat vise à identifier et optimiser les ressources internes à la société locale. Le partenariat constitue la base du développement de projets vertueux abordant des questions complexes telles que la pauvreté éducative et la décroissance scolaire. La création de réseaux entre institutions publiques et acteurs privés favorise une collaboration synergique visant à partager des ressources et compétences diverses pour une approche plus apte à faire face aux défis éducatifs et socioculturels ; la création de réseaux encourage le partage des responsabilités.</w:t>
      </w:r>
    </w:p>
    <w:p w14:paraId="00000015" w14:textId="61811A26" w:rsidR="0073237C" w:rsidRDefault="00000000">
      <w:pPr>
        <w:spacing w:after="0" w:line="240" w:lineRule="auto"/>
        <w:ind w:firstLine="284"/>
        <w:jc w:val="both"/>
        <w:rPr>
          <w:rFonts w:ascii="Cambria" w:eastAsia="Cambria" w:hAnsi="Cambria" w:cs="Cambria"/>
          <w:sz w:val="24"/>
          <w:szCs w:val="24"/>
        </w:rPr>
      </w:pPr>
      <w:r>
        <w:rPr>
          <w:rFonts w:ascii="Cambria" w:eastAsia="Cambria" w:hAnsi="Cambria" w:cs="Cambria"/>
          <w:smallCaps/>
          <w:sz w:val="24"/>
          <w:szCs w:val="24"/>
        </w:rPr>
        <w:t>L’université</w:t>
      </w:r>
      <w:r>
        <w:rPr>
          <w:rFonts w:ascii="Cambria" w:eastAsia="Cambria" w:hAnsi="Cambria" w:cs="Cambria"/>
          <w:sz w:val="24"/>
          <w:szCs w:val="24"/>
        </w:rPr>
        <w:t xml:space="preserve"> de Catane, </w:t>
      </w:r>
      <w:sdt>
        <w:sdtPr>
          <w:tag w:val="goog_rdk_0"/>
          <w:id w:val="36791569"/>
        </w:sdtPr>
        <w:sdtContent/>
      </w:sdt>
      <w:r>
        <w:rPr>
          <w:rFonts w:ascii="Cambria" w:eastAsia="Cambria" w:hAnsi="Cambria" w:cs="Cambria"/>
          <w:sz w:val="24"/>
          <w:szCs w:val="24"/>
        </w:rPr>
        <w:t>représenté</w:t>
      </w:r>
      <w:r w:rsidR="00181268">
        <w:rPr>
          <w:rFonts w:ascii="Cambria" w:eastAsia="Cambria" w:hAnsi="Cambria" w:cs="Cambria"/>
          <w:sz w:val="24"/>
          <w:szCs w:val="24"/>
        </w:rPr>
        <w:t>e</w:t>
      </w:r>
      <w:r>
        <w:rPr>
          <w:rFonts w:ascii="Cambria" w:eastAsia="Cambria" w:hAnsi="Cambria" w:cs="Cambria"/>
          <w:sz w:val="24"/>
          <w:szCs w:val="24"/>
        </w:rPr>
        <w:t xml:space="preserve"> par le Département de </w:t>
      </w:r>
      <w:sdt>
        <w:sdtPr>
          <w:tag w:val="goog_rdk_1"/>
          <w:id w:val="-1512830161"/>
        </w:sdtPr>
        <w:sdtContent/>
      </w:sdt>
      <w:r>
        <w:rPr>
          <w:rFonts w:ascii="Cambria" w:eastAsia="Cambria" w:hAnsi="Cambria" w:cs="Cambria"/>
          <w:sz w:val="24"/>
          <w:szCs w:val="24"/>
        </w:rPr>
        <w:t>Science</w:t>
      </w:r>
      <w:r w:rsidR="00181268">
        <w:rPr>
          <w:rFonts w:ascii="Cambria" w:eastAsia="Cambria" w:hAnsi="Cambria" w:cs="Cambria"/>
          <w:sz w:val="24"/>
          <w:szCs w:val="24"/>
        </w:rPr>
        <w:t>s</w:t>
      </w:r>
      <w:r>
        <w:rPr>
          <w:rFonts w:ascii="Cambria" w:eastAsia="Cambria" w:hAnsi="Cambria" w:cs="Cambria"/>
          <w:sz w:val="24"/>
          <w:szCs w:val="24"/>
        </w:rPr>
        <w:t xml:space="preserve"> Politiques et Sociales, gère le volet « recherche » (analyse du contexte, approfondissement des thèmes de recherche, définition de la méthodologie d’analyse avec une approche </w:t>
      </w:r>
      <w:r>
        <w:rPr>
          <w:rFonts w:ascii="Cambria" w:eastAsia="Cambria" w:hAnsi="Cambria" w:cs="Cambria"/>
          <w:i/>
          <w:sz w:val="24"/>
          <w:szCs w:val="24"/>
        </w:rPr>
        <w:t xml:space="preserve">mixed </w:t>
      </w:r>
      <w:proofErr w:type="spellStart"/>
      <w:r>
        <w:rPr>
          <w:rFonts w:ascii="Cambria" w:eastAsia="Cambria" w:hAnsi="Cambria" w:cs="Cambria"/>
          <w:i/>
          <w:sz w:val="24"/>
          <w:szCs w:val="24"/>
        </w:rPr>
        <w:t>methods</w:t>
      </w:r>
      <w:proofErr w:type="spellEnd"/>
      <w:r>
        <w:rPr>
          <w:rFonts w:ascii="Cambria" w:eastAsia="Cambria" w:hAnsi="Cambria" w:cs="Cambria"/>
          <w:sz w:val="24"/>
          <w:szCs w:val="24"/>
        </w:rPr>
        <w:t xml:space="preserve"> pour la collecte et le traitement des données) ; l’université se charge de gérer la formation des enseignants du lycée dans le cadre de séminaires portant sur les thèmes du projet ; elle a la responsabilité de valoriser la recherche, en promouvant une formation continue, c’est-à-dire des initiatives de diffusion des connaissances au bénéfice de la communauté scolaire (enseignants, parents, élèves, etc.) et, plus généralement, de la communauté citoyenne. Elle promeut de nouvelles collaborations avec d’autres parties prenantes locales utiles pour élargir le réseau de relations et d’actions du partenariat.</w:t>
      </w:r>
    </w:p>
    <w:p w14:paraId="00000016" w14:textId="778EE38A" w:rsidR="0073237C" w:rsidRDefault="00000000">
      <w:pPr>
        <w:spacing w:after="0" w:line="240" w:lineRule="auto"/>
        <w:ind w:firstLine="284"/>
        <w:jc w:val="both"/>
        <w:rPr>
          <w:rFonts w:ascii="Cambria" w:eastAsia="Cambria" w:hAnsi="Cambria" w:cs="Cambria"/>
          <w:sz w:val="24"/>
          <w:szCs w:val="24"/>
        </w:rPr>
      </w:pPr>
      <w:r>
        <w:rPr>
          <w:rFonts w:ascii="Cambria" w:eastAsia="Cambria" w:hAnsi="Cambria" w:cs="Cambria"/>
          <w:smallCaps/>
          <w:sz w:val="24"/>
          <w:szCs w:val="24"/>
        </w:rPr>
        <w:t>Le lycée</w:t>
      </w:r>
      <w:r>
        <w:rPr>
          <w:rFonts w:ascii="Cambria" w:eastAsia="Cambria" w:hAnsi="Cambria" w:cs="Cambria"/>
          <w:sz w:val="24"/>
          <w:szCs w:val="24"/>
        </w:rPr>
        <w:t xml:space="preserve"> constitue le véritable</w:t>
      </w:r>
      <w:proofErr w:type="gramStart"/>
      <w:r w:rsidR="00181268">
        <w:rPr>
          <w:rFonts w:ascii="Cambria" w:eastAsia="Cambria" w:hAnsi="Cambria" w:cs="Cambria"/>
          <w:sz w:val="24"/>
          <w:szCs w:val="24"/>
        </w:rPr>
        <w:t xml:space="preserve"> </w:t>
      </w:r>
      <w:r>
        <w:rPr>
          <w:rFonts w:ascii="Cambria" w:eastAsia="Cambria" w:hAnsi="Cambria" w:cs="Cambria"/>
          <w:sz w:val="24"/>
          <w:szCs w:val="24"/>
        </w:rPr>
        <w:t>«espace</w:t>
      </w:r>
      <w:proofErr w:type="gramEnd"/>
      <w:r>
        <w:rPr>
          <w:rFonts w:ascii="Cambria" w:eastAsia="Cambria" w:hAnsi="Cambria" w:cs="Cambria"/>
          <w:sz w:val="24"/>
          <w:szCs w:val="24"/>
        </w:rPr>
        <w:t>-laboratoire», à l’intérieur duquel le « soutien culturel » est expérimenté envers les élèves les plus fragiles, les pratiques innovantes sont mises en œuvre, et des initiatives de collaboration avec les parents sont testées. Le lycée contribue de manière proactive à la recherche et au renforcement du réseau d’acteurs locaux à impliquer pour lancer un processus vertueux à moyen et long terme.</w:t>
      </w:r>
    </w:p>
    <w:p w14:paraId="00000017" w14:textId="77777777" w:rsidR="0073237C" w:rsidRDefault="00000000">
      <w:pPr>
        <w:spacing w:after="0" w:line="240" w:lineRule="auto"/>
        <w:ind w:firstLine="284"/>
        <w:jc w:val="both"/>
        <w:rPr>
          <w:rFonts w:ascii="Cambria" w:eastAsia="Cambria" w:hAnsi="Cambria" w:cs="Cambria"/>
          <w:sz w:val="24"/>
          <w:szCs w:val="24"/>
        </w:rPr>
      </w:pPr>
      <w:proofErr w:type="spellStart"/>
      <w:r>
        <w:rPr>
          <w:rFonts w:ascii="Cambria" w:eastAsia="Cambria" w:hAnsi="Cambria" w:cs="Cambria"/>
          <w:smallCaps/>
          <w:sz w:val="24"/>
          <w:szCs w:val="24"/>
        </w:rPr>
        <w:t>Farm</w:t>
      </w:r>
      <w:proofErr w:type="spellEnd"/>
      <w:r>
        <w:rPr>
          <w:rFonts w:ascii="Cambria" w:eastAsia="Cambria" w:hAnsi="Cambria" w:cs="Cambria"/>
          <w:smallCaps/>
          <w:sz w:val="24"/>
          <w:szCs w:val="24"/>
        </w:rPr>
        <w:t xml:space="preserve"> Cultural Park</w:t>
      </w:r>
      <w:r>
        <w:rPr>
          <w:rFonts w:ascii="Cambria" w:eastAsia="Cambria" w:hAnsi="Cambria" w:cs="Cambria"/>
          <w:sz w:val="24"/>
          <w:szCs w:val="24"/>
        </w:rPr>
        <w:t xml:space="preserve"> soutient l’université et l’école secondaire dans les activités de formation et de sensibilisation sur les thèmes du </w:t>
      </w:r>
      <w:proofErr w:type="gramStart"/>
      <w:r>
        <w:rPr>
          <w:rFonts w:ascii="Cambria" w:eastAsia="Cambria" w:hAnsi="Cambria" w:cs="Cambria"/>
          <w:sz w:val="24"/>
          <w:szCs w:val="24"/>
        </w:rPr>
        <w:t>projet;</w:t>
      </w:r>
      <w:proofErr w:type="gramEnd"/>
      <w:r>
        <w:rPr>
          <w:rFonts w:ascii="Cambria" w:eastAsia="Cambria" w:hAnsi="Cambria" w:cs="Cambria"/>
          <w:sz w:val="24"/>
          <w:szCs w:val="24"/>
        </w:rPr>
        <w:t xml:space="preserve"> elle est impliquée dans les ateliers éducatifs et joue un rôle central dans la construction du «soutien culturel». Plus spécifiquement, </w:t>
      </w:r>
      <w:proofErr w:type="spellStart"/>
      <w:r>
        <w:rPr>
          <w:rFonts w:ascii="Cambria" w:eastAsia="Cambria" w:hAnsi="Cambria" w:cs="Cambria"/>
          <w:i/>
          <w:sz w:val="24"/>
          <w:szCs w:val="24"/>
        </w:rPr>
        <w:t>Farm</w:t>
      </w:r>
      <w:proofErr w:type="spellEnd"/>
      <w:r>
        <w:rPr>
          <w:rFonts w:ascii="Cambria" w:eastAsia="Cambria" w:hAnsi="Cambria" w:cs="Cambria"/>
          <w:i/>
          <w:sz w:val="24"/>
          <w:szCs w:val="24"/>
        </w:rPr>
        <w:t xml:space="preserve"> Cultural Park</w:t>
      </w:r>
      <w:r>
        <w:rPr>
          <w:rFonts w:ascii="Cambria" w:eastAsia="Cambria" w:hAnsi="Cambria" w:cs="Cambria"/>
          <w:sz w:val="24"/>
          <w:szCs w:val="24"/>
        </w:rPr>
        <w:t xml:space="preserve"> contribue à la conception de modules éducatifs expérimentaux (ex. architecture créative, </w:t>
      </w:r>
      <w:r>
        <w:rPr>
          <w:rFonts w:ascii="Cambria" w:eastAsia="Cambria" w:hAnsi="Cambria" w:cs="Cambria"/>
          <w:i/>
          <w:sz w:val="24"/>
          <w:szCs w:val="24"/>
        </w:rPr>
        <w:t>gaming urbain</w:t>
      </w:r>
      <w:r>
        <w:rPr>
          <w:rFonts w:ascii="Cambria" w:eastAsia="Cambria" w:hAnsi="Cambria" w:cs="Cambria"/>
          <w:sz w:val="24"/>
          <w:szCs w:val="24"/>
        </w:rPr>
        <w:t xml:space="preserve"> et </w:t>
      </w:r>
      <w:r>
        <w:rPr>
          <w:rFonts w:ascii="Cambria" w:eastAsia="Cambria" w:hAnsi="Cambria" w:cs="Cambria"/>
          <w:i/>
          <w:sz w:val="24"/>
          <w:szCs w:val="24"/>
        </w:rPr>
        <w:t>storytelling</w:t>
      </w:r>
      <w:r>
        <w:rPr>
          <w:rFonts w:ascii="Cambria" w:eastAsia="Cambria" w:hAnsi="Cambria" w:cs="Cambria"/>
          <w:sz w:val="24"/>
          <w:szCs w:val="24"/>
        </w:rPr>
        <w:t xml:space="preserve"> territorial</w:t>
      </w:r>
      <w:proofErr w:type="gramStart"/>
      <w:r>
        <w:rPr>
          <w:rFonts w:ascii="Cambria" w:eastAsia="Cambria" w:hAnsi="Cambria" w:cs="Cambria"/>
          <w:sz w:val="24"/>
          <w:szCs w:val="24"/>
        </w:rPr>
        <w:t>);</w:t>
      </w:r>
      <w:proofErr w:type="gramEnd"/>
      <w:r>
        <w:rPr>
          <w:rFonts w:ascii="Cambria" w:eastAsia="Cambria" w:hAnsi="Cambria" w:cs="Cambria"/>
          <w:sz w:val="24"/>
          <w:szCs w:val="24"/>
        </w:rPr>
        <w:t xml:space="preserve"> elle organise des activités intégrant des approches artistiques et créatives dans l’environnement éducatif en raison des compétences qui la caractérisent (ex. architectes, artistes, designers, etc.).</w:t>
      </w:r>
    </w:p>
    <w:p w14:paraId="00000018" w14:textId="77777777" w:rsidR="0073237C" w:rsidRDefault="00000000">
      <w:pPr>
        <w:spacing w:after="0" w:line="240" w:lineRule="auto"/>
        <w:ind w:firstLine="284"/>
        <w:jc w:val="both"/>
        <w:rPr>
          <w:rFonts w:ascii="Cambria" w:eastAsia="Cambria" w:hAnsi="Cambria" w:cs="Cambria"/>
          <w:sz w:val="24"/>
          <w:szCs w:val="24"/>
        </w:rPr>
      </w:pPr>
      <w:r>
        <w:rPr>
          <w:rFonts w:ascii="Cambria" w:eastAsia="Cambria" w:hAnsi="Cambria" w:cs="Cambria"/>
          <w:sz w:val="24"/>
          <w:szCs w:val="24"/>
        </w:rPr>
        <w:lastRenderedPageBreak/>
        <w:t>Dans les paragraphes qui suivent, nous développerons une réflexion sur les nouvelles vulnérabilités sociales et économiques et sur le soutien culturel en tant qu’outil didactique-pédagogique innovant pour lutter contre la fragilité éducative et le décrochage scolaire, avec une attention particulière au cas d’étude de Catane. Plus spécifiquement, nous analyserons le processus de construction du soutien culturel, ses modalités d’application, ainsi que les défis et les opportunités potentielles d’un modèle exportable.</w:t>
      </w:r>
    </w:p>
    <w:p w14:paraId="00000019" w14:textId="77777777" w:rsidR="0073237C" w:rsidRDefault="0073237C">
      <w:pPr>
        <w:spacing w:after="0" w:line="240" w:lineRule="auto"/>
        <w:jc w:val="both"/>
        <w:rPr>
          <w:rFonts w:ascii="Cambria" w:eastAsia="Cambria" w:hAnsi="Cambria" w:cs="Cambria"/>
          <w:sz w:val="24"/>
          <w:szCs w:val="24"/>
        </w:rPr>
      </w:pPr>
    </w:p>
    <w:p w14:paraId="0000001A" w14:textId="77777777" w:rsidR="0073237C" w:rsidRDefault="0073237C">
      <w:pPr>
        <w:spacing w:after="0" w:line="240" w:lineRule="auto"/>
        <w:jc w:val="both"/>
        <w:rPr>
          <w:rFonts w:ascii="Cambria" w:eastAsia="Cambria" w:hAnsi="Cambria" w:cs="Cambria"/>
          <w:sz w:val="24"/>
          <w:szCs w:val="24"/>
        </w:rPr>
      </w:pPr>
    </w:p>
    <w:p w14:paraId="0000001C" w14:textId="3C88D6C5" w:rsidR="0073237C" w:rsidRDefault="00000000" w:rsidP="00A9738C">
      <w:pPr>
        <w:spacing w:after="0" w:line="240" w:lineRule="auto"/>
        <w:jc w:val="both"/>
        <w:rPr>
          <w:rFonts w:ascii="Cambria" w:eastAsia="Cambria" w:hAnsi="Cambria" w:cs="Cambria"/>
          <w:b/>
          <w:sz w:val="24"/>
          <w:szCs w:val="24"/>
        </w:rPr>
      </w:pPr>
      <w:r>
        <w:rPr>
          <w:rFonts w:ascii="Cambria" w:eastAsia="Cambria" w:hAnsi="Cambria" w:cs="Cambria"/>
          <w:b/>
          <w:sz w:val="24"/>
          <w:szCs w:val="24"/>
        </w:rPr>
        <w:t>2. Vulnérabilité sociale et formes de territorialisation : fragilités anciennes et nouvelles</w:t>
      </w:r>
    </w:p>
    <w:p w14:paraId="7A5F5815" w14:textId="77777777" w:rsidR="00A9738C" w:rsidRPr="00A9738C" w:rsidRDefault="00A9738C" w:rsidP="00A9738C">
      <w:pPr>
        <w:spacing w:after="0" w:line="240" w:lineRule="auto"/>
        <w:jc w:val="both"/>
        <w:rPr>
          <w:rFonts w:ascii="Cambria" w:eastAsia="Cambria" w:hAnsi="Cambria" w:cs="Cambria"/>
          <w:b/>
          <w:sz w:val="24"/>
          <w:szCs w:val="24"/>
        </w:rPr>
      </w:pPr>
    </w:p>
    <w:p w14:paraId="0000001D" w14:textId="77777777" w:rsidR="0073237C" w:rsidRDefault="00000000">
      <w:pPr>
        <w:spacing w:after="0" w:line="240" w:lineRule="auto"/>
        <w:ind w:firstLine="284"/>
        <w:jc w:val="both"/>
        <w:rPr>
          <w:rFonts w:ascii="Cambria" w:eastAsia="Cambria" w:hAnsi="Cambria" w:cs="Cambria"/>
          <w:sz w:val="24"/>
          <w:szCs w:val="24"/>
        </w:rPr>
      </w:pPr>
      <w:r>
        <w:rPr>
          <w:rFonts w:ascii="Cambria" w:eastAsia="Cambria" w:hAnsi="Cambria" w:cs="Cambria"/>
          <w:sz w:val="24"/>
          <w:szCs w:val="24"/>
        </w:rPr>
        <w:t xml:space="preserve">Le rôle crucial des processus de territorialisation et de </w:t>
      </w:r>
      <w:proofErr w:type="spellStart"/>
      <w:r>
        <w:rPr>
          <w:rFonts w:ascii="Cambria" w:eastAsia="Cambria" w:hAnsi="Cambria" w:cs="Cambria"/>
          <w:sz w:val="24"/>
          <w:szCs w:val="24"/>
        </w:rPr>
        <w:t>re-territorialisation</w:t>
      </w:r>
      <w:proofErr w:type="spellEnd"/>
      <w:r>
        <w:rPr>
          <w:rFonts w:ascii="Cambria" w:eastAsia="Cambria" w:hAnsi="Cambria" w:cs="Cambria"/>
          <w:sz w:val="24"/>
          <w:szCs w:val="24"/>
        </w:rPr>
        <w:t xml:space="preserve"> est mis en évidence dans le programme européen pour les objectifs de développement durable et l’Agenda Territorial 2030, lequel souligne la nécessité de renforcer la dimension territoriale des politiques de développement et la gouvernance multi-niveaux en promouvant un avenir inclusif et durable, à travers la coopération entre les citoyens, la société civile, les entreprises et les institutions de recherche (UE, 2020).</w:t>
      </w:r>
    </w:p>
    <w:p w14:paraId="0000001E" w14:textId="77777777" w:rsidR="0073237C" w:rsidRDefault="00000000">
      <w:pPr>
        <w:spacing w:after="0" w:line="240" w:lineRule="auto"/>
        <w:ind w:firstLine="284"/>
        <w:jc w:val="both"/>
        <w:rPr>
          <w:rFonts w:ascii="Cambria" w:eastAsia="Cambria" w:hAnsi="Cambria" w:cs="Cambria"/>
          <w:sz w:val="24"/>
          <w:szCs w:val="24"/>
        </w:rPr>
      </w:pPr>
      <w:r>
        <w:rPr>
          <w:rFonts w:ascii="Cambria" w:eastAsia="Cambria" w:hAnsi="Cambria" w:cs="Cambria"/>
          <w:sz w:val="24"/>
          <w:szCs w:val="24"/>
        </w:rPr>
        <w:t>En Italie, la Commission interdisciplinaire de l’ISTAT, chargée de définir et de mesurer la fragilité éducative, a élaboré un indice des difficultés en matière de résultats scolaires et de manque de ressources, offrant ainsi un cadre riche en perspectives pour des approfondissements futurs. Contrairement aux autres régions, la Sicile présente une importante carence en ressources et opportunités culturelles, tant dans le cadre familial, scolaire, qu’au sein des lieux de socialisation et d’apprentissage, et ce, indépendamment du degré d’urbanisation. Par ailleurs, la province de Catane se distingue par un indice élevé de difficulté dans les résultats scolaires</w:t>
      </w:r>
      <w:r>
        <w:rPr>
          <w:rFonts w:ascii="Cambria" w:eastAsia="Cambria" w:hAnsi="Cambria" w:cs="Cambria"/>
          <w:sz w:val="24"/>
          <w:szCs w:val="24"/>
          <w:vertAlign w:val="superscript"/>
        </w:rPr>
        <w:footnoteReference w:id="3"/>
      </w:r>
      <w:r>
        <w:rPr>
          <w:rFonts w:ascii="Cambria" w:eastAsia="Cambria" w:hAnsi="Cambria" w:cs="Cambria"/>
          <w:sz w:val="24"/>
          <w:szCs w:val="24"/>
        </w:rPr>
        <w:t xml:space="preserve"> (ISTAT, 2024).</w:t>
      </w:r>
    </w:p>
    <w:p w14:paraId="0000001F" w14:textId="1C70D573" w:rsidR="0073237C" w:rsidRDefault="00000000">
      <w:pPr>
        <w:spacing w:after="0" w:line="240" w:lineRule="auto"/>
        <w:ind w:firstLine="284"/>
        <w:jc w:val="both"/>
        <w:rPr>
          <w:rFonts w:ascii="Cambria" w:eastAsia="Cambria" w:hAnsi="Cambria" w:cs="Cambria"/>
          <w:sz w:val="24"/>
          <w:szCs w:val="24"/>
        </w:rPr>
      </w:pPr>
      <w:r>
        <w:rPr>
          <w:rFonts w:ascii="Cambria" w:eastAsia="Cambria" w:hAnsi="Cambria" w:cs="Cambria"/>
          <w:sz w:val="24"/>
          <w:szCs w:val="24"/>
        </w:rPr>
        <w:t>Concernant le décrochage scolaire précoce</w:t>
      </w:r>
      <w:r>
        <w:rPr>
          <w:rFonts w:ascii="Cambria" w:eastAsia="Cambria" w:hAnsi="Cambria" w:cs="Cambria"/>
          <w:sz w:val="24"/>
          <w:szCs w:val="24"/>
          <w:vertAlign w:val="superscript"/>
        </w:rPr>
        <w:footnoteReference w:id="4"/>
      </w:r>
      <w:r>
        <w:rPr>
          <w:rFonts w:ascii="Cambria" w:eastAsia="Cambria" w:hAnsi="Cambria" w:cs="Cambria"/>
          <w:sz w:val="24"/>
          <w:szCs w:val="24"/>
        </w:rPr>
        <w:t>, la région sicilienne dépasse également la moyenne nationale en 2023 (17,1%, Italie 10,5%) (SISREG, 2024). Bien qu’une vaste littérature souligne l’importance de l’approche territoriale pour étudier les inégalités et la marginalité sociale, il persiste, notamment sur les thèmes de la pauvreté et de la vulnérabilité, un manque de détails analytiques en raison d’une carence de données disponibles (</w:t>
      </w:r>
      <w:proofErr w:type="spellStart"/>
      <w:r>
        <w:rPr>
          <w:rFonts w:ascii="Cambria" w:eastAsia="Cambria" w:hAnsi="Cambria" w:cs="Cambria"/>
          <w:sz w:val="24"/>
          <w:szCs w:val="24"/>
        </w:rPr>
        <w:t>Alberio</w:t>
      </w:r>
      <w:proofErr w:type="spellEnd"/>
      <w:r>
        <w:rPr>
          <w:rFonts w:ascii="Cambria" w:eastAsia="Cambria" w:hAnsi="Cambria" w:cs="Cambria"/>
          <w:sz w:val="24"/>
          <w:szCs w:val="24"/>
        </w:rPr>
        <w:t xml:space="preserve"> et </w:t>
      </w:r>
      <w:proofErr w:type="spellStart"/>
      <w:r>
        <w:rPr>
          <w:rFonts w:ascii="Cambria" w:eastAsia="Cambria" w:hAnsi="Cambria" w:cs="Cambria"/>
          <w:sz w:val="24"/>
          <w:szCs w:val="24"/>
        </w:rPr>
        <w:t>Benassi</w:t>
      </w:r>
      <w:proofErr w:type="spellEnd"/>
      <w:r>
        <w:rPr>
          <w:rFonts w:ascii="Cambria" w:eastAsia="Cambria" w:hAnsi="Cambria" w:cs="Cambria"/>
          <w:sz w:val="24"/>
          <w:szCs w:val="24"/>
        </w:rPr>
        <w:t xml:space="preserve">, 2022). En effet, une </w:t>
      </w:r>
      <w:r>
        <w:rPr>
          <w:rFonts w:ascii="Cambria" w:eastAsia="Cambria" w:hAnsi="Cambria" w:cs="Cambria"/>
          <w:sz w:val="24"/>
          <w:szCs w:val="24"/>
        </w:rPr>
        <w:lastRenderedPageBreak/>
        <w:t xml:space="preserve">analyse détaillée au niveau territorial est indispensable pour appréhender les spécificités des contextes individuels (par </w:t>
      </w:r>
      <w:proofErr w:type="spellStart"/>
      <w:proofErr w:type="gramStart"/>
      <w:r>
        <w:rPr>
          <w:rFonts w:ascii="Cambria" w:eastAsia="Cambria" w:hAnsi="Cambria" w:cs="Cambria"/>
          <w:sz w:val="24"/>
          <w:szCs w:val="24"/>
        </w:rPr>
        <w:t>ex</w:t>
      </w:r>
      <w:r w:rsidR="00E24DE0">
        <w:rPr>
          <w:rFonts w:ascii="Cambria" w:eastAsia="Cambria" w:hAnsi="Cambria" w:cs="Cambria"/>
          <w:sz w:val="24"/>
          <w:szCs w:val="24"/>
        </w:rPr>
        <w:t>ample</w:t>
      </w:r>
      <w:proofErr w:type="spellEnd"/>
      <w:r>
        <w:rPr>
          <w:rFonts w:ascii="Cambria" w:eastAsia="Cambria" w:hAnsi="Cambria" w:cs="Cambria"/>
          <w:sz w:val="24"/>
          <w:szCs w:val="24"/>
        </w:rPr>
        <w:t>:</w:t>
      </w:r>
      <w:proofErr w:type="gramEnd"/>
      <w:r>
        <w:rPr>
          <w:rFonts w:ascii="Cambria" w:eastAsia="Cambria" w:hAnsi="Cambria" w:cs="Cambria"/>
          <w:sz w:val="24"/>
          <w:szCs w:val="24"/>
        </w:rPr>
        <w:t xml:space="preserve"> zones intérieures, côtières, centres historiques, etc.) et les conditions économiques, politico-culturelles et de bien-être local qui influencent l’émergence et les caractéristiques de la pauvreté (</w:t>
      </w:r>
      <w:proofErr w:type="spellStart"/>
      <w:r>
        <w:rPr>
          <w:rFonts w:ascii="Cambria" w:eastAsia="Cambria" w:hAnsi="Cambria" w:cs="Cambria"/>
          <w:sz w:val="24"/>
          <w:szCs w:val="24"/>
        </w:rPr>
        <w:t>Saraceno</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Benassi</w:t>
      </w:r>
      <w:proofErr w:type="spellEnd"/>
      <w:r>
        <w:rPr>
          <w:rFonts w:ascii="Cambria" w:eastAsia="Cambria" w:hAnsi="Cambria" w:cs="Cambria"/>
          <w:sz w:val="24"/>
          <w:szCs w:val="24"/>
        </w:rPr>
        <w:t xml:space="preserve"> et </w:t>
      </w:r>
      <w:proofErr w:type="spellStart"/>
      <w:r>
        <w:rPr>
          <w:rFonts w:ascii="Cambria" w:eastAsia="Cambria" w:hAnsi="Cambria" w:cs="Cambria"/>
          <w:sz w:val="24"/>
          <w:szCs w:val="24"/>
        </w:rPr>
        <w:t>Morlicchio</w:t>
      </w:r>
      <w:proofErr w:type="spellEnd"/>
      <w:r>
        <w:rPr>
          <w:rFonts w:ascii="Cambria" w:eastAsia="Cambria" w:hAnsi="Cambria" w:cs="Cambria"/>
          <w:sz w:val="24"/>
          <w:szCs w:val="24"/>
        </w:rPr>
        <w:t>, 2020, pp. 89-90).</w:t>
      </w:r>
    </w:p>
    <w:p w14:paraId="00000020" w14:textId="77777777" w:rsidR="0073237C" w:rsidRDefault="00000000">
      <w:pPr>
        <w:spacing w:after="0" w:line="240" w:lineRule="auto"/>
        <w:ind w:firstLine="284"/>
        <w:jc w:val="both"/>
        <w:rPr>
          <w:rFonts w:ascii="Cambria" w:eastAsia="Cambria" w:hAnsi="Cambria" w:cs="Cambria"/>
          <w:sz w:val="24"/>
          <w:szCs w:val="24"/>
        </w:rPr>
      </w:pPr>
      <w:r>
        <w:rPr>
          <w:rFonts w:ascii="Cambria" w:eastAsia="Cambria" w:hAnsi="Cambria" w:cs="Cambria"/>
          <w:sz w:val="24"/>
          <w:szCs w:val="24"/>
        </w:rPr>
        <w:t>La vulnérabilité peut être comprise comme une exposition à un ensemble de conditions économiques, territoriales, éducatives, mettant l’accent sur le territoire dans lequel vivent les individus et qui les influence dans leurs trajectoires de vie (Tarantino, 2023, p. 11). Cette caractéristique, déjà répandue, a été exacerbée par la pandémie de Covid-19, malgré les nombreuses mesures de soutien au revenu introduites par le gouvernement italien. À la contraction des revenus et des consommations s’est ajoutée une</w:t>
      </w:r>
      <w:proofErr w:type="gramStart"/>
      <w:r>
        <w:rPr>
          <w:rFonts w:ascii="Cambria" w:eastAsia="Cambria" w:hAnsi="Cambria" w:cs="Cambria"/>
          <w:sz w:val="24"/>
          <w:szCs w:val="24"/>
        </w:rPr>
        <w:t xml:space="preserve"> «déprivation</w:t>
      </w:r>
      <w:proofErr w:type="gramEnd"/>
      <w:r>
        <w:rPr>
          <w:rFonts w:ascii="Cambria" w:eastAsia="Cambria" w:hAnsi="Cambria" w:cs="Cambria"/>
          <w:sz w:val="24"/>
          <w:szCs w:val="24"/>
        </w:rPr>
        <w:t xml:space="preserve"> éducative et culturelle» en raison de la fermeture prolongée des écoles et des espaces éducatifs, avec des implications potentielles à long terme en termes d’apprentissage et de décrochage scolaire, en particulier pour les enfants issus de familles défavorisées (</w:t>
      </w:r>
      <w:proofErr w:type="spellStart"/>
      <w:r>
        <w:rPr>
          <w:rFonts w:ascii="Cambria" w:eastAsia="Cambria" w:hAnsi="Cambria" w:cs="Cambria"/>
          <w:sz w:val="24"/>
          <w:szCs w:val="24"/>
        </w:rPr>
        <w:t>Gaggioli</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Gabbi</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Ranieri</w:t>
      </w:r>
      <w:proofErr w:type="spellEnd"/>
      <w:r>
        <w:rPr>
          <w:rFonts w:ascii="Cambria" w:eastAsia="Cambria" w:hAnsi="Cambria" w:cs="Cambria"/>
          <w:sz w:val="24"/>
          <w:szCs w:val="24"/>
        </w:rPr>
        <w:t>, 2021, pp. 3-4).</w:t>
      </w:r>
    </w:p>
    <w:p w14:paraId="00000021" w14:textId="77777777" w:rsidR="0073237C" w:rsidRDefault="00000000">
      <w:pPr>
        <w:spacing w:after="0" w:line="240" w:lineRule="auto"/>
        <w:ind w:firstLine="284"/>
        <w:jc w:val="both"/>
        <w:rPr>
          <w:rFonts w:ascii="Cambria" w:eastAsia="Cambria" w:hAnsi="Cambria" w:cs="Cambria"/>
          <w:sz w:val="24"/>
          <w:szCs w:val="24"/>
        </w:rPr>
      </w:pPr>
      <w:r>
        <w:rPr>
          <w:rFonts w:ascii="Cambria" w:eastAsia="Cambria" w:hAnsi="Cambria" w:cs="Cambria"/>
          <w:sz w:val="24"/>
          <w:szCs w:val="24"/>
        </w:rPr>
        <w:t>Le manque d’opportunités culturelles, combiné à une éventuelle fragilité économique des familles, influe sur la capacité réelle des jeunes à affronter les défis quotidiens et futurs dans un monde en constante évolution. L’éducation joue un rôle fondamental dans le niveau de bien-être d’un individu : les personnes ayant un niveau d’éducation plus élevé bénéficient de meilleures opportunités pour trouver un emploi décent et mener une vie plus saine. En outre, la pauvreté des familles est bien plus élevée pour celles ayant un faible niveau d’instruction (ISTAT, 2022), avec des répercussions importantes sur la qualité de vie.</w:t>
      </w:r>
    </w:p>
    <w:p w14:paraId="00000022" w14:textId="61D440B2" w:rsidR="0073237C" w:rsidRDefault="00000000">
      <w:pPr>
        <w:spacing w:after="0" w:line="240" w:lineRule="auto"/>
        <w:ind w:firstLine="284"/>
        <w:jc w:val="both"/>
        <w:rPr>
          <w:rFonts w:ascii="Cambria" w:eastAsia="Cambria" w:hAnsi="Cambria" w:cs="Cambria"/>
          <w:sz w:val="24"/>
          <w:szCs w:val="24"/>
        </w:rPr>
      </w:pPr>
      <w:r>
        <w:rPr>
          <w:rFonts w:ascii="Cambria" w:eastAsia="Cambria" w:hAnsi="Cambria" w:cs="Cambria"/>
          <w:sz w:val="24"/>
          <w:szCs w:val="24"/>
        </w:rPr>
        <w:t>L’incidence d’un faible niveau d’instruction constitue l’un des indicateurs utilisés pour mesurer la vulnérabilité sociale et matérielle des familles</w:t>
      </w:r>
      <w:r>
        <w:rPr>
          <w:rFonts w:ascii="Cambria" w:eastAsia="Cambria" w:hAnsi="Cambria" w:cs="Cambria"/>
          <w:sz w:val="24"/>
          <w:szCs w:val="24"/>
          <w:vertAlign w:val="superscript"/>
        </w:rPr>
        <w:footnoteReference w:id="5"/>
      </w:r>
      <w:r>
        <w:rPr>
          <w:rFonts w:ascii="Cambria" w:eastAsia="Cambria" w:hAnsi="Cambria" w:cs="Cambria"/>
          <w:sz w:val="24"/>
          <w:szCs w:val="24"/>
        </w:rPr>
        <w:t xml:space="preserve">, en tenant compte de la population âgée de 25 à 64 ans qui est analphabète ou alphabète sans diplôme. En comparant les données relatives à cet indicateur et le taux de chômage pour la période la plus récente disponible (2021 et 2022), on observe que la ville de Catane présente un niveau moyen-élevé de fragilité et est à la tête d’une zone métropolitaine marquée par des conditions de déprivation économique et culturelle importantes, notamment dans les communes côtières et certaines zones intérieures. Le choix de ces indicateurs, bien que non exhaustif quant à la complexité du phénomène, permet de mettre en évidence la tendance à long terme et la chronicité </w:t>
      </w:r>
      <w:r>
        <w:rPr>
          <w:rFonts w:ascii="Cambria" w:eastAsia="Cambria" w:hAnsi="Cambria" w:cs="Cambria"/>
          <w:sz w:val="24"/>
          <w:szCs w:val="24"/>
        </w:rPr>
        <w:lastRenderedPageBreak/>
        <w:t>des fragilités éducatives, économiques et plus généralement culturelles dans les territoires.</w:t>
      </w:r>
    </w:p>
    <w:p w14:paraId="00000023" w14:textId="77777777" w:rsidR="0073237C" w:rsidRDefault="0073237C">
      <w:pPr>
        <w:spacing w:after="0" w:line="240" w:lineRule="auto"/>
        <w:ind w:firstLine="284"/>
        <w:jc w:val="both"/>
        <w:rPr>
          <w:rFonts w:ascii="Cambria" w:eastAsia="Cambria" w:hAnsi="Cambria" w:cs="Cambria"/>
          <w:sz w:val="24"/>
          <w:szCs w:val="24"/>
          <w:highlight w:val="yellow"/>
        </w:rPr>
      </w:pPr>
    </w:p>
    <w:p w14:paraId="00000025" w14:textId="28EC2D02" w:rsidR="0073237C" w:rsidRDefault="00A9738C">
      <w:pPr>
        <w:spacing w:after="0" w:line="240" w:lineRule="auto"/>
        <w:jc w:val="center"/>
        <w:rPr>
          <w:rFonts w:ascii="Cambria" w:eastAsia="Cambria" w:hAnsi="Cambria" w:cs="Cambria"/>
          <w:b/>
          <w:sz w:val="24"/>
          <w:szCs w:val="24"/>
          <w:highlight w:val="yellow"/>
        </w:rPr>
      </w:pPr>
      <w:r>
        <w:rPr>
          <w:rFonts w:ascii="Cambria" w:eastAsia="Cambria" w:hAnsi="Cambria" w:cs="Cambria"/>
          <w:b/>
          <w:noProof/>
          <w:sz w:val="24"/>
          <w:szCs w:val="24"/>
        </w:rPr>
        <w:drawing>
          <wp:inline distT="0" distB="0" distL="0" distR="0" wp14:anchorId="0787711C" wp14:editId="3D4652F8">
            <wp:extent cx="5400040" cy="3816985"/>
            <wp:effectExtent l="0" t="0" r="0" b="5715"/>
            <wp:docPr id="7598049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04941" name="Immagine 7598049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3816985"/>
                    </a:xfrm>
                    <a:prstGeom prst="rect">
                      <a:avLst/>
                    </a:prstGeom>
                  </pic:spPr>
                </pic:pic>
              </a:graphicData>
            </a:graphic>
          </wp:inline>
        </w:drawing>
      </w:r>
    </w:p>
    <w:p w14:paraId="00000026" w14:textId="77777777" w:rsidR="0073237C" w:rsidRPr="00A9738C" w:rsidRDefault="00000000">
      <w:pPr>
        <w:spacing w:after="0" w:line="240" w:lineRule="auto"/>
        <w:jc w:val="center"/>
        <w:rPr>
          <w:rFonts w:ascii="Cambria" w:eastAsia="Cambria" w:hAnsi="Cambria" w:cs="Cambria"/>
          <w:bCs/>
          <w:i/>
          <w:iCs/>
          <w:sz w:val="24"/>
          <w:szCs w:val="24"/>
        </w:rPr>
      </w:pPr>
      <w:r w:rsidRPr="00A9738C">
        <w:rPr>
          <w:rFonts w:ascii="Cambria" w:eastAsia="Cambria" w:hAnsi="Cambria" w:cs="Cambria"/>
          <w:bCs/>
          <w:i/>
          <w:iCs/>
          <w:sz w:val="24"/>
          <w:szCs w:val="24"/>
        </w:rPr>
        <w:t xml:space="preserve">Figure 1 - </w:t>
      </w:r>
      <w:proofErr w:type="gramStart"/>
      <w:r w:rsidRPr="00A9738C">
        <w:rPr>
          <w:rFonts w:ascii="Cambria" w:eastAsia="Cambria" w:hAnsi="Cambria" w:cs="Cambria"/>
          <w:bCs/>
          <w:i/>
          <w:iCs/>
          <w:sz w:val="24"/>
          <w:szCs w:val="24"/>
        </w:rPr>
        <w:t>Vulnérabilité  économique</w:t>
      </w:r>
      <w:proofErr w:type="gramEnd"/>
      <w:r w:rsidRPr="00A9738C">
        <w:rPr>
          <w:rFonts w:ascii="Cambria" w:eastAsia="Cambria" w:hAnsi="Cambria" w:cs="Cambria"/>
          <w:bCs/>
          <w:i/>
          <w:iCs/>
          <w:sz w:val="24"/>
          <w:szCs w:val="24"/>
        </w:rPr>
        <w:t xml:space="preserve"> et culturelle</w:t>
      </w:r>
    </w:p>
    <w:p w14:paraId="00000027" w14:textId="77777777" w:rsidR="0073237C" w:rsidRPr="00A9738C" w:rsidRDefault="00000000">
      <w:pPr>
        <w:spacing w:after="0" w:line="240" w:lineRule="auto"/>
        <w:jc w:val="center"/>
        <w:rPr>
          <w:rFonts w:ascii="Cambria" w:eastAsia="Cambria" w:hAnsi="Cambria" w:cs="Cambria"/>
          <w:bCs/>
          <w:sz w:val="24"/>
          <w:szCs w:val="24"/>
          <w:highlight w:val="yellow"/>
        </w:rPr>
      </w:pPr>
      <w:proofErr w:type="gramStart"/>
      <w:r w:rsidRPr="00A9738C">
        <w:rPr>
          <w:rFonts w:ascii="Cambria" w:eastAsia="Cambria" w:hAnsi="Cambria" w:cs="Cambria"/>
          <w:bCs/>
          <w:i/>
          <w:sz w:val="24"/>
          <w:szCs w:val="24"/>
        </w:rPr>
        <w:t>Source:</w:t>
      </w:r>
      <w:proofErr w:type="gramEnd"/>
      <w:r w:rsidRPr="00A9738C">
        <w:rPr>
          <w:rFonts w:ascii="Cambria" w:eastAsia="Cambria" w:hAnsi="Cambria" w:cs="Cambria"/>
          <w:bCs/>
          <w:i/>
          <w:sz w:val="24"/>
          <w:szCs w:val="24"/>
        </w:rPr>
        <w:t xml:space="preserve"> notre élaboration sur </w:t>
      </w:r>
      <w:proofErr w:type="spellStart"/>
      <w:r w:rsidRPr="00A9738C">
        <w:rPr>
          <w:rFonts w:ascii="Cambria" w:eastAsia="Cambria" w:hAnsi="Cambria" w:cs="Cambria"/>
          <w:bCs/>
          <w:i/>
          <w:sz w:val="24"/>
          <w:szCs w:val="24"/>
        </w:rPr>
        <w:t>Istat</w:t>
      </w:r>
      <w:proofErr w:type="spellEnd"/>
      <w:r w:rsidRPr="00A9738C">
        <w:rPr>
          <w:rFonts w:ascii="Cambria" w:eastAsia="Cambria" w:hAnsi="Cambria" w:cs="Cambria"/>
          <w:bCs/>
          <w:i/>
          <w:sz w:val="24"/>
          <w:szCs w:val="24"/>
        </w:rPr>
        <w:t xml:space="preserve"> </w:t>
      </w:r>
      <w:proofErr w:type="spellStart"/>
      <w:r w:rsidRPr="00A9738C">
        <w:rPr>
          <w:rFonts w:ascii="Cambria" w:eastAsia="Cambria" w:hAnsi="Cambria" w:cs="Cambria"/>
          <w:bCs/>
          <w:i/>
          <w:sz w:val="24"/>
          <w:szCs w:val="24"/>
        </w:rPr>
        <w:t>Census</w:t>
      </w:r>
      <w:proofErr w:type="spellEnd"/>
      <w:r w:rsidRPr="00A9738C">
        <w:rPr>
          <w:rFonts w:ascii="Cambria" w:eastAsia="Cambria" w:hAnsi="Cambria" w:cs="Cambria"/>
          <w:bCs/>
          <w:i/>
          <w:sz w:val="24"/>
          <w:szCs w:val="24"/>
        </w:rPr>
        <w:t xml:space="preserve"> data, </w:t>
      </w:r>
      <w:r w:rsidRPr="00A9738C">
        <w:rPr>
          <w:rFonts w:ascii="Cambria" w:eastAsia="Cambria" w:hAnsi="Cambria" w:cs="Cambria"/>
          <w:bCs/>
          <w:sz w:val="24"/>
          <w:szCs w:val="24"/>
        </w:rPr>
        <w:t>2022</w:t>
      </w:r>
    </w:p>
    <w:p w14:paraId="00000028" w14:textId="77777777" w:rsidR="0073237C" w:rsidRDefault="0073237C">
      <w:pPr>
        <w:spacing w:after="0" w:line="240" w:lineRule="auto"/>
        <w:jc w:val="both"/>
        <w:rPr>
          <w:rFonts w:ascii="Cambria" w:eastAsia="Cambria" w:hAnsi="Cambria" w:cs="Cambria"/>
          <w:b/>
          <w:sz w:val="24"/>
          <w:szCs w:val="24"/>
        </w:rPr>
      </w:pPr>
    </w:p>
    <w:p w14:paraId="00000029" w14:textId="77777777" w:rsidR="0073237C" w:rsidRDefault="00000000">
      <w:pPr>
        <w:spacing w:after="0" w:line="240" w:lineRule="auto"/>
        <w:ind w:firstLine="284"/>
        <w:jc w:val="both"/>
        <w:rPr>
          <w:rFonts w:ascii="Cambria" w:eastAsia="Cambria" w:hAnsi="Cambria" w:cs="Cambria"/>
          <w:sz w:val="24"/>
          <w:szCs w:val="24"/>
        </w:rPr>
      </w:pPr>
      <w:r>
        <w:rPr>
          <w:rFonts w:ascii="Cambria" w:eastAsia="Cambria" w:hAnsi="Cambria" w:cs="Cambria"/>
          <w:sz w:val="24"/>
          <w:szCs w:val="24"/>
        </w:rPr>
        <w:t xml:space="preserve">L’adoption d’une dynamique processuelle, ainsi que les éléments décrits plus précisément dans l’essai sur le décrochage scolaire et la fragilité éducative (voir </w:t>
      </w:r>
      <w:proofErr w:type="spellStart"/>
      <w:r>
        <w:rPr>
          <w:rFonts w:ascii="Cambria" w:eastAsia="Cambria" w:hAnsi="Cambria" w:cs="Cambria"/>
          <w:sz w:val="24"/>
          <w:szCs w:val="24"/>
        </w:rPr>
        <w:t>Colloca</w:t>
      </w:r>
      <w:proofErr w:type="spellEnd"/>
      <w:r>
        <w:rPr>
          <w:rFonts w:ascii="Cambria" w:eastAsia="Cambria" w:hAnsi="Cambria" w:cs="Cambria"/>
          <w:sz w:val="24"/>
          <w:szCs w:val="24"/>
        </w:rPr>
        <w:t xml:space="preserve">, Lipari, </w:t>
      </w:r>
      <w:proofErr w:type="spellStart"/>
      <w:r>
        <w:rPr>
          <w:rFonts w:ascii="Cambria" w:eastAsia="Cambria" w:hAnsi="Cambria" w:cs="Cambria"/>
          <w:sz w:val="24"/>
          <w:szCs w:val="24"/>
        </w:rPr>
        <w:t>Pantaleo</w:t>
      </w:r>
      <w:proofErr w:type="spellEnd"/>
      <w:r>
        <w:rPr>
          <w:rFonts w:ascii="Cambria" w:eastAsia="Cambria" w:hAnsi="Cambria" w:cs="Cambria"/>
          <w:sz w:val="24"/>
          <w:szCs w:val="24"/>
        </w:rPr>
        <w:t>), invite à interroger le soutien culturel en tant qu’outil pouvant, par le biais d’un réseau innovant d’acteurs locaux, apporter des réponses concrètes face aux formes de vulnérabilité généralisée, en commençant par le contexte de Catane.</w:t>
      </w:r>
    </w:p>
    <w:p w14:paraId="0000002A" w14:textId="77777777" w:rsidR="0073237C" w:rsidRDefault="0073237C">
      <w:pPr>
        <w:spacing w:after="0" w:line="240" w:lineRule="auto"/>
        <w:ind w:firstLine="284"/>
        <w:jc w:val="both"/>
        <w:rPr>
          <w:rFonts w:ascii="Cambria" w:eastAsia="Cambria" w:hAnsi="Cambria" w:cs="Cambria"/>
          <w:sz w:val="24"/>
          <w:szCs w:val="24"/>
        </w:rPr>
      </w:pPr>
    </w:p>
    <w:p w14:paraId="0000002B" w14:textId="77777777" w:rsidR="0073237C" w:rsidRDefault="0073237C">
      <w:pPr>
        <w:spacing w:after="0" w:line="240" w:lineRule="auto"/>
        <w:ind w:firstLine="284"/>
        <w:jc w:val="both"/>
        <w:rPr>
          <w:rFonts w:ascii="Cambria" w:eastAsia="Cambria" w:hAnsi="Cambria" w:cs="Cambria"/>
          <w:sz w:val="24"/>
          <w:szCs w:val="24"/>
        </w:rPr>
      </w:pPr>
    </w:p>
    <w:p w14:paraId="0000002C" w14:textId="77777777" w:rsidR="0073237C" w:rsidRDefault="00000000">
      <w:pPr>
        <w:numPr>
          <w:ilvl w:val="0"/>
          <w:numId w:val="3"/>
        </w:num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Le soutien culturel comme outil innovant</w:t>
      </w:r>
    </w:p>
    <w:p w14:paraId="0000002D" w14:textId="77777777" w:rsidR="0073237C" w:rsidRDefault="0073237C">
      <w:pPr>
        <w:pBdr>
          <w:top w:val="nil"/>
          <w:left w:val="nil"/>
          <w:bottom w:val="nil"/>
          <w:right w:val="nil"/>
          <w:between w:val="nil"/>
        </w:pBdr>
        <w:spacing w:after="0" w:line="240" w:lineRule="auto"/>
        <w:ind w:left="720"/>
        <w:jc w:val="both"/>
        <w:rPr>
          <w:rFonts w:ascii="Cambria" w:eastAsia="Cambria" w:hAnsi="Cambria" w:cs="Cambria"/>
          <w:b/>
          <w:color w:val="000000"/>
          <w:sz w:val="24"/>
          <w:szCs w:val="24"/>
        </w:rPr>
      </w:pPr>
    </w:p>
    <w:p w14:paraId="0000002E" w14:textId="77777777" w:rsidR="0073237C" w:rsidRDefault="00000000">
      <w:pPr>
        <w:spacing w:after="0" w:line="240" w:lineRule="auto"/>
        <w:ind w:firstLine="284"/>
        <w:jc w:val="both"/>
        <w:rPr>
          <w:rFonts w:ascii="Cambria" w:eastAsia="Cambria" w:hAnsi="Cambria" w:cs="Cambria"/>
          <w:sz w:val="24"/>
          <w:szCs w:val="24"/>
        </w:rPr>
      </w:pPr>
      <w:r>
        <w:rPr>
          <w:rFonts w:ascii="Cambria" w:eastAsia="Cambria" w:hAnsi="Cambria" w:cs="Cambria"/>
          <w:sz w:val="24"/>
          <w:szCs w:val="24"/>
        </w:rPr>
        <w:t xml:space="preserve">Dans des conditions de vulnérabilité socio-économique, comme le montre le cadre présenté, il est nécessaire de concevoir un outil flexible, innovant et capable de répondre aux populations scolaires les plus fragiles. À cet égard, le partenariat a amorcé une réflexion sur le rôle du soutien en proposant un élargissement de sa </w:t>
      </w:r>
      <w:r>
        <w:rPr>
          <w:rFonts w:ascii="Cambria" w:eastAsia="Cambria" w:hAnsi="Cambria" w:cs="Cambria"/>
          <w:sz w:val="24"/>
          <w:szCs w:val="24"/>
        </w:rPr>
        <w:lastRenderedPageBreak/>
        <w:t>signification et de ses contenus par rapport aux dispositions prévues par la législation en Italie (à partir de la loi 118/1971 jusqu’aux récentes modifications 66/2017).</w:t>
      </w:r>
    </w:p>
    <w:p w14:paraId="0000002F" w14:textId="77777777" w:rsidR="0073237C" w:rsidRDefault="00000000">
      <w:pPr>
        <w:spacing w:after="0" w:line="240" w:lineRule="auto"/>
        <w:ind w:firstLine="284"/>
        <w:jc w:val="both"/>
        <w:rPr>
          <w:rFonts w:ascii="Cambria" w:eastAsia="Cambria" w:hAnsi="Cambria" w:cs="Cambria"/>
          <w:sz w:val="24"/>
          <w:szCs w:val="24"/>
        </w:rPr>
      </w:pPr>
      <w:r>
        <w:rPr>
          <w:rFonts w:ascii="Cambria" w:eastAsia="Cambria" w:hAnsi="Cambria" w:cs="Cambria"/>
          <w:sz w:val="24"/>
          <w:szCs w:val="24"/>
        </w:rPr>
        <w:t>L’aspect innovant réside dans la manière de concevoir et d’appliquer, dans la relation enseignant-élève, le rôle du soutien, en le considérant comme un appui culturel et social pour les plus vulnérables. L’accent est mis sur la dimension socio-psycho-pédagogique pour proposer un modèle d’enseignement et de soutien adapté aux divers besoins émanant du territoire.</w:t>
      </w:r>
    </w:p>
    <w:p w14:paraId="00000030" w14:textId="77777777" w:rsidR="0073237C" w:rsidRDefault="00000000">
      <w:pPr>
        <w:spacing w:after="0" w:line="240" w:lineRule="auto"/>
        <w:ind w:firstLine="284"/>
        <w:jc w:val="both"/>
        <w:rPr>
          <w:rFonts w:ascii="Cambria" w:eastAsia="Cambria" w:hAnsi="Cambria" w:cs="Cambria"/>
          <w:sz w:val="24"/>
          <w:szCs w:val="24"/>
        </w:rPr>
      </w:pPr>
      <w:r>
        <w:rPr>
          <w:rFonts w:ascii="Cambria" w:eastAsia="Cambria" w:hAnsi="Cambria" w:cs="Cambria"/>
          <w:sz w:val="24"/>
          <w:szCs w:val="24"/>
        </w:rPr>
        <w:t xml:space="preserve">Plus spécifiquement, l’attention est portée sur deux phénomènes de plus en plus présents dans le débat </w:t>
      </w:r>
      <w:proofErr w:type="gramStart"/>
      <w:r>
        <w:rPr>
          <w:rFonts w:ascii="Cambria" w:eastAsia="Cambria" w:hAnsi="Cambria" w:cs="Cambria"/>
          <w:sz w:val="24"/>
          <w:szCs w:val="24"/>
        </w:rPr>
        <w:t>italien:</w:t>
      </w:r>
      <w:proofErr w:type="gramEnd"/>
      <w:r>
        <w:rPr>
          <w:rFonts w:ascii="Cambria" w:eastAsia="Cambria" w:hAnsi="Cambria" w:cs="Cambria"/>
          <w:sz w:val="24"/>
          <w:szCs w:val="24"/>
        </w:rPr>
        <w:t xml:space="preserve"> le décrochage scolaire et la fragilité éducative. Ces deux problématiques demeurent des questions ouvertes, confrontant l’école à de nouveaux défis et besoins qu’il convient d’analyser et de comprendre afin de proposer des interventions efficaces.</w:t>
      </w:r>
    </w:p>
    <w:p w14:paraId="00000031" w14:textId="77777777" w:rsidR="0073237C" w:rsidRDefault="00000000">
      <w:pPr>
        <w:spacing w:after="0" w:line="240" w:lineRule="auto"/>
        <w:ind w:firstLine="284"/>
        <w:jc w:val="both"/>
        <w:rPr>
          <w:rFonts w:ascii="Cambria" w:eastAsia="Cambria" w:hAnsi="Cambria" w:cs="Cambria"/>
          <w:sz w:val="24"/>
          <w:szCs w:val="24"/>
        </w:rPr>
      </w:pPr>
      <w:r>
        <w:rPr>
          <w:rFonts w:ascii="Cambria" w:eastAsia="Cambria" w:hAnsi="Cambria" w:cs="Cambria"/>
          <w:sz w:val="24"/>
          <w:szCs w:val="24"/>
        </w:rPr>
        <w:t>Pour la construction du soutien culturel, le modèle des trois</w:t>
      </w:r>
      <w:proofErr w:type="gramStart"/>
      <w:r>
        <w:rPr>
          <w:rFonts w:ascii="Cambria" w:eastAsia="Cambria" w:hAnsi="Cambria" w:cs="Cambria"/>
          <w:sz w:val="24"/>
          <w:szCs w:val="24"/>
        </w:rPr>
        <w:t xml:space="preserve"> «O</w:t>
      </w:r>
      <w:proofErr w:type="gramEnd"/>
      <w:r>
        <w:rPr>
          <w:rFonts w:ascii="Cambria" w:eastAsia="Cambria" w:hAnsi="Cambria" w:cs="Cambria"/>
          <w:sz w:val="24"/>
          <w:szCs w:val="24"/>
        </w:rPr>
        <w:t>» a été suivi :</w:t>
      </w:r>
    </w:p>
    <w:p w14:paraId="00000032" w14:textId="77777777" w:rsidR="0073237C" w:rsidRDefault="0073237C">
      <w:pPr>
        <w:spacing w:after="0" w:line="240" w:lineRule="auto"/>
        <w:ind w:firstLine="284"/>
        <w:jc w:val="both"/>
        <w:rPr>
          <w:rFonts w:ascii="Cambria" w:eastAsia="Cambria" w:hAnsi="Cambria" w:cs="Cambria"/>
          <w:sz w:val="24"/>
          <w:szCs w:val="24"/>
        </w:rPr>
      </w:pPr>
    </w:p>
    <w:p w14:paraId="00000033" w14:textId="77777777" w:rsidR="0073237C" w:rsidRDefault="00000000">
      <w:pPr>
        <w:spacing w:after="0" w:line="240" w:lineRule="auto"/>
        <w:ind w:firstLine="284"/>
        <w:jc w:val="center"/>
        <w:rPr>
          <w:rFonts w:ascii="Cambria" w:eastAsia="Cambria" w:hAnsi="Cambria" w:cs="Cambria"/>
          <w:sz w:val="24"/>
          <w:szCs w:val="24"/>
        </w:rPr>
      </w:pPr>
      <w:r>
        <w:rPr>
          <w:rFonts w:ascii="Cambria" w:eastAsia="Cambria" w:hAnsi="Cambria" w:cs="Cambria"/>
          <w:noProof/>
          <w:sz w:val="24"/>
          <w:szCs w:val="24"/>
        </w:rPr>
        <w:drawing>
          <wp:inline distT="0" distB="0" distL="0" distR="0" wp14:anchorId="4937FF26" wp14:editId="0444286E">
            <wp:extent cx="4172114" cy="2421031"/>
            <wp:effectExtent l="0" t="0" r="0" b="0"/>
            <wp:docPr id="174675570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l="14191" r="8547" b="20305"/>
                    <a:stretch>
                      <a:fillRect/>
                    </a:stretch>
                  </pic:blipFill>
                  <pic:spPr>
                    <a:xfrm>
                      <a:off x="0" y="0"/>
                      <a:ext cx="4172114" cy="2421031"/>
                    </a:xfrm>
                    <a:prstGeom prst="rect">
                      <a:avLst/>
                    </a:prstGeom>
                    <a:ln/>
                  </pic:spPr>
                </pic:pic>
              </a:graphicData>
            </a:graphic>
          </wp:inline>
        </w:drawing>
      </w:r>
    </w:p>
    <w:p w14:paraId="00000034" w14:textId="77777777" w:rsidR="0073237C" w:rsidRDefault="00000000">
      <w:pPr>
        <w:spacing w:after="0" w:line="240" w:lineRule="auto"/>
        <w:jc w:val="center"/>
        <w:rPr>
          <w:rFonts w:ascii="Cambria" w:eastAsia="Cambria" w:hAnsi="Cambria" w:cs="Cambria"/>
          <w:i/>
          <w:sz w:val="24"/>
          <w:szCs w:val="24"/>
        </w:rPr>
      </w:pPr>
      <w:r>
        <w:rPr>
          <w:rFonts w:ascii="Cambria" w:eastAsia="Cambria" w:hAnsi="Cambria" w:cs="Cambria"/>
          <w:i/>
          <w:sz w:val="24"/>
          <w:szCs w:val="24"/>
        </w:rPr>
        <w:t>Figure 2 – La méthode de trois “O”</w:t>
      </w:r>
    </w:p>
    <w:p w14:paraId="00000035" w14:textId="77777777" w:rsidR="0073237C" w:rsidRDefault="0073237C">
      <w:pPr>
        <w:pBdr>
          <w:top w:val="nil"/>
          <w:left w:val="nil"/>
          <w:bottom w:val="nil"/>
          <w:right w:val="nil"/>
          <w:between w:val="nil"/>
        </w:pBdr>
        <w:spacing w:after="0" w:line="240" w:lineRule="auto"/>
        <w:jc w:val="both"/>
        <w:rPr>
          <w:rFonts w:ascii="Cambria" w:eastAsia="Cambria" w:hAnsi="Cambria" w:cs="Cambria"/>
          <w:b/>
          <w:smallCaps/>
          <w:sz w:val="24"/>
          <w:szCs w:val="24"/>
        </w:rPr>
      </w:pPr>
    </w:p>
    <w:p w14:paraId="00000036" w14:textId="77777777" w:rsidR="0073237C" w:rsidRDefault="00000000">
      <w:pPr>
        <w:pBdr>
          <w:top w:val="nil"/>
          <w:left w:val="nil"/>
          <w:bottom w:val="nil"/>
          <w:right w:val="nil"/>
          <w:between w:val="nil"/>
        </w:pBdr>
        <w:spacing w:after="0" w:line="240" w:lineRule="auto"/>
        <w:ind w:firstLine="284"/>
        <w:jc w:val="both"/>
        <w:rPr>
          <w:rFonts w:ascii="Cambria" w:eastAsia="Cambria" w:hAnsi="Cambria" w:cs="Cambria"/>
          <w:sz w:val="24"/>
          <w:szCs w:val="24"/>
        </w:rPr>
      </w:pPr>
      <w:r>
        <w:rPr>
          <w:rFonts w:ascii="Cambria" w:eastAsia="Cambria" w:hAnsi="Cambria" w:cs="Cambria"/>
          <w:sz w:val="24"/>
          <w:szCs w:val="24"/>
        </w:rPr>
        <w:t>On peut expliquer les trois mots-clés de ce modèle comme faisant partie d’un paradigme à la fois méthodologique et opérationnel.</w:t>
      </w:r>
    </w:p>
    <w:p w14:paraId="00000037" w14:textId="77777777" w:rsidR="0073237C" w:rsidRDefault="00000000">
      <w:pPr>
        <w:pBdr>
          <w:top w:val="nil"/>
          <w:left w:val="nil"/>
          <w:bottom w:val="nil"/>
          <w:right w:val="nil"/>
          <w:between w:val="nil"/>
        </w:pBdr>
        <w:spacing w:after="0" w:line="240" w:lineRule="auto"/>
        <w:ind w:firstLine="284"/>
        <w:jc w:val="both"/>
        <w:rPr>
          <w:rFonts w:ascii="Cambria" w:eastAsia="Cambria" w:hAnsi="Cambria" w:cs="Cambria"/>
          <w:color w:val="000000"/>
          <w:sz w:val="24"/>
          <w:szCs w:val="24"/>
        </w:rPr>
      </w:pPr>
      <w:proofErr w:type="gramStart"/>
      <w:r>
        <w:rPr>
          <w:rFonts w:ascii="Cambria" w:eastAsia="Cambria" w:hAnsi="Cambria" w:cs="Cambria"/>
          <w:smallCaps/>
          <w:sz w:val="24"/>
          <w:szCs w:val="24"/>
        </w:rPr>
        <w:t>Observez!</w:t>
      </w:r>
      <w:proofErr w:type="gramEnd"/>
      <w:r>
        <w:rPr>
          <w:rFonts w:ascii="Cambria" w:eastAsia="Cambria" w:hAnsi="Cambria" w:cs="Cambria"/>
          <w:sz w:val="24"/>
          <w:szCs w:val="24"/>
        </w:rPr>
        <w:t xml:space="preserve"> Avec l’approche sociogéographique, nous cherchons à analyser les spécificités sociales, économiques et culturelles qui caractérisent le territoire local. En premier lieu, nous avons porté l’attention sur les facteurs étroitement liés à l’abandon scolaire, à la « pauvreté éducative » (pauvreté en contextes scolaires, manque de scolarisation) et aux phénomènes de délinquance juvénile, à savoir : l’inégalité des salaires, le risque d’indigence, la détresse matérielle, le taux de chômage</w:t>
      </w:r>
    </w:p>
    <w:p w14:paraId="00000038" w14:textId="77777777" w:rsidR="0073237C" w:rsidRDefault="00000000">
      <w:pPr>
        <w:spacing w:after="0" w:line="240" w:lineRule="auto"/>
        <w:ind w:firstLine="284"/>
        <w:jc w:val="both"/>
        <w:rPr>
          <w:rFonts w:ascii="Cambria" w:eastAsia="Cambria" w:hAnsi="Cambria" w:cs="Cambria"/>
          <w:sz w:val="24"/>
          <w:szCs w:val="24"/>
        </w:rPr>
      </w:pPr>
      <w:r>
        <w:rPr>
          <w:rFonts w:ascii="Cambria" w:eastAsia="Cambria" w:hAnsi="Cambria" w:cs="Cambria"/>
          <w:smallCaps/>
          <w:sz w:val="24"/>
          <w:szCs w:val="24"/>
        </w:rPr>
        <w:t>Opportunités !</w:t>
      </w:r>
      <w:r>
        <w:rPr>
          <w:rFonts w:ascii="Cambria" w:eastAsia="Cambria" w:hAnsi="Cambria" w:cs="Cambria"/>
          <w:sz w:val="24"/>
          <w:szCs w:val="24"/>
        </w:rPr>
        <w:t xml:space="preserve"> À cette étape, l’attention se concentre sur les opportunités offertes par le territoire pour la construction de réseaux locaux (entre acteurs publics et </w:t>
      </w:r>
      <w:r>
        <w:rPr>
          <w:rFonts w:ascii="Cambria" w:eastAsia="Cambria" w:hAnsi="Cambria" w:cs="Cambria"/>
          <w:sz w:val="24"/>
          <w:szCs w:val="24"/>
        </w:rPr>
        <w:lastRenderedPageBreak/>
        <w:t>privés). Les stratégies préparatoires au « soutien culturel spécial » visent ainsi à optimiser les ressources disponibles et identifier les activités expérientielles les plus adaptées pour chaque contexte socioculturel. À cet égard, une réflexion a été engagée sur l’importance de la constitution de réseaux capables de connecter individus et institutions dans une dynamique vertueuse. Une fois consolidés, ces réseaux faciliteront la promotion d’initiatives visant à valoriser le territoire et à créer de nouvelles opportunités pour l’avenir.</w:t>
      </w:r>
    </w:p>
    <w:p w14:paraId="00000039" w14:textId="77777777" w:rsidR="0073237C" w:rsidRDefault="00000000">
      <w:pPr>
        <w:spacing w:after="0" w:line="240" w:lineRule="auto"/>
        <w:ind w:firstLine="284"/>
        <w:jc w:val="both"/>
        <w:rPr>
          <w:rFonts w:ascii="Cambria" w:eastAsia="Cambria" w:hAnsi="Cambria" w:cs="Cambria"/>
          <w:sz w:val="24"/>
          <w:szCs w:val="24"/>
        </w:rPr>
      </w:pPr>
      <w:r>
        <w:rPr>
          <w:rFonts w:ascii="Cambria" w:eastAsia="Cambria" w:hAnsi="Cambria" w:cs="Cambria"/>
          <w:sz w:val="24"/>
          <w:szCs w:val="24"/>
        </w:rPr>
        <w:t xml:space="preserve">Qui plus est, l’université a lancé des groupes de discussion impliquant les enseignants du Lycée </w:t>
      </w:r>
      <w:proofErr w:type="spellStart"/>
      <w:r>
        <w:rPr>
          <w:rFonts w:ascii="Cambria" w:eastAsia="Cambria" w:hAnsi="Cambria" w:cs="Cambria"/>
          <w:sz w:val="24"/>
          <w:szCs w:val="24"/>
        </w:rPr>
        <w:t>Turrisi</w:t>
      </w:r>
      <w:proofErr w:type="spellEnd"/>
      <w:r>
        <w:rPr>
          <w:rFonts w:ascii="Cambria" w:eastAsia="Cambria" w:hAnsi="Cambria" w:cs="Cambria"/>
          <w:sz w:val="24"/>
          <w:szCs w:val="24"/>
        </w:rPr>
        <w:t xml:space="preserve"> Colonna, non seulement afin de débattre sur les thèmes de l’abandon scolaire et de la pauvreté éducative, mais aussi dans le but d’interroger les modèles éducatifs en vigueur tout en réfléchissant sur la manière dont il est possible de les innover. Un parcours a été aussi initié pour le développement de compétences transversales et pour l’orientation aux études universitaires (</w:t>
      </w:r>
      <w:proofErr w:type="spellStart"/>
      <w:r>
        <w:rPr>
          <w:rFonts w:ascii="Cambria" w:eastAsia="Cambria" w:hAnsi="Cambria" w:cs="Cambria"/>
          <w:sz w:val="24"/>
          <w:szCs w:val="24"/>
        </w:rPr>
        <w:t>it</w:t>
      </w:r>
      <w:proofErr w:type="spellEnd"/>
      <w:r>
        <w:rPr>
          <w:rFonts w:ascii="Cambria" w:eastAsia="Cambria" w:hAnsi="Cambria" w:cs="Cambria"/>
          <w:sz w:val="24"/>
          <w:szCs w:val="24"/>
        </w:rPr>
        <w:t>. « </w:t>
      </w:r>
      <w:proofErr w:type="spellStart"/>
      <w:r>
        <w:rPr>
          <w:rFonts w:ascii="Cambria" w:eastAsia="Cambria" w:hAnsi="Cambria" w:cs="Cambria"/>
          <w:i/>
          <w:sz w:val="24"/>
          <w:szCs w:val="24"/>
        </w:rPr>
        <w:t>Percorsi</w:t>
      </w:r>
      <w:proofErr w:type="spellEnd"/>
      <w:r>
        <w:rPr>
          <w:rFonts w:ascii="Cambria" w:eastAsia="Cambria" w:hAnsi="Cambria" w:cs="Cambria"/>
          <w:i/>
          <w:sz w:val="24"/>
          <w:szCs w:val="24"/>
        </w:rPr>
        <w:t xml:space="preserve"> per le </w:t>
      </w:r>
      <w:proofErr w:type="spellStart"/>
      <w:r>
        <w:rPr>
          <w:rFonts w:ascii="Cambria" w:eastAsia="Cambria" w:hAnsi="Cambria" w:cs="Cambria"/>
          <w:i/>
          <w:sz w:val="24"/>
          <w:szCs w:val="24"/>
        </w:rPr>
        <w:t>competenze</w:t>
      </w:r>
      <w:proofErr w:type="spellEnd"/>
      <w:r>
        <w:rPr>
          <w:rFonts w:ascii="Cambria" w:eastAsia="Cambria" w:hAnsi="Cambria" w:cs="Cambria"/>
          <w:i/>
          <w:sz w:val="24"/>
          <w:szCs w:val="24"/>
        </w:rPr>
        <w:t xml:space="preserve"> </w:t>
      </w:r>
      <w:proofErr w:type="spellStart"/>
      <w:r>
        <w:rPr>
          <w:rFonts w:ascii="Cambria" w:eastAsia="Cambria" w:hAnsi="Cambria" w:cs="Cambria"/>
          <w:i/>
          <w:sz w:val="24"/>
          <w:szCs w:val="24"/>
        </w:rPr>
        <w:t>trasversali</w:t>
      </w:r>
      <w:proofErr w:type="spellEnd"/>
      <w:r>
        <w:rPr>
          <w:rFonts w:ascii="Cambria" w:eastAsia="Cambria" w:hAnsi="Cambria" w:cs="Cambria"/>
          <w:i/>
          <w:sz w:val="24"/>
          <w:szCs w:val="24"/>
        </w:rPr>
        <w:t xml:space="preserve"> e per l’</w:t>
      </w:r>
      <w:proofErr w:type="spellStart"/>
      <w:r>
        <w:rPr>
          <w:rFonts w:ascii="Cambria" w:eastAsia="Cambria" w:hAnsi="Cambria" w:cs="Cambria"/>
          <w:i/>
          <w:sz w:val="24"/>
          <w:szCs w:val="24"/>
        </w:rPr>
        <w:t>orientamento</w:t>
      </w:r>
      <w:proofErr w:type="spellEnd"/>
      <w:r>
        <w:rPr>
          <w:rFonts w:ascii="Cambria" w:eastAsia="Cambria" w:hAnsi="Cambria" w:cs="Cambria"/>
          <w:sz w:val="24"/>
          <w:szCs w:val="24"/>
        </w:rPr>
        <w:t> », PCTO). Ce parcours spécifique a été conçu pour les étudiants du Lycée</w:t>
      </w:r>
      <w:proofErr w:type="gramStart"/>
      <w:r>
        <w:rPr>
          <w:rFonts w:ascii="Cambria" w:eastAsia="Cambria" w:hAnsi="Cambria" w:cs="Cambria"/>
          <w:sz w:val="24"/>
          <w:szCs w:val="24"/>
        </w:rPr>
        <w:t xml:space="preserve"> «</w:t>
      </w:r>
      <w:proofErr w:type="spellStart"/>
      <w:r>
        <w:rPr>
          <w:rFonts w:ascii="Cambria" w:eastAsia="Cambria" w:hAnsi="Cambria" w:cs="Cambria"/>
          <w:sz w:val="24"/>
          <w:szCs w:val="24"/>
        </w:rPr>
        <w:t>Turrisi</w:t>
      </w:r>
      <w:proofErr w:type="spellEnd"/>
      <w:proofErr w:type="gramEnd"/>
      <w:r>
        <w:rPr>
          <w:rFonts w:ascii="Cambria" w:eastAsia="Cambria" w:hAnsi="Cambria" w:cs="Cambria"/>
          <w:sz w:val="24"/>
          <w:szCs w:val="24"/>
        </w:rPr>
        <w:t xml:space="preserve"> Colonna», dans le but de tester le potentiel de la notion de «soutien culturel spécial».</w:t>
      </w:r>
    </w:p>
    <w:p w14:paraId="0000003A" w14:textId="77777777" w:rsidR="0073237C" w:rsidRDefault="00000000">
      <w:pPr>
        <w:spacing w:after="0" w:line="240" w:lineRule="auto"/>
        <w:ind w:firstLine="284"/>
        <w:jc w:val="both"/>
        <w:rPr>
          <w:rFonts w:ascii="Cambria" w:eastAsia="Cambria" w:hAnsi="Cambria" w:cs="Cambria"/>
          <w:sz w:val="24"/>
          <w:szCs w:val="24"/>
        </w:rPr>
      </w:pPr>
      <w:proofErr w:type="gramStart"/>
      <w:r>
        <w:rPr>
          <w:rFonts w:ascii="Cambria" w:eastAsia="Cambria" w:hAnsi="Cambria" w:cs="Cambria"/>
          <w:smallCaps/>
          <w:sz w:val="24"/>
          <w:szCs w:val="24"/>
        </w:rPr>
        <w:t>Osez!</w:t>
      </w:r>
      <w:proofErr w:type="gramEnd"/>
      <w:r>
        <w:rPr>
          <w:rFonts w:ascii="Cambria" w:eastAsia="Cambria" w:hAnsi="Cambria" w:cs="Cambria"/>
          <w:smallCaps/>
          <w:sz w:val="24"/>
          <w:szCs w:val="24"/>
        </w:rPr>
        <w:t xml:space="preserve"> </w:t>
      </w:r>
      <w:r>
        <w:rPr>
          <w:rFonts w:ascii="Cambria" w:eastAsia="Cambria" w:hAnsi="Cambria" w:cs="Cambria"/>
          <w:sz w:val="24"/>
          <w:szCs w:val="24"/>
        </w:rPr>
        <w:t>Le soutien culturel est possible uniquement si les lieux de formation sont capables de jouer un rôle proactif dans la communauté afin d’encourager et faciliter les réseaux de collaboration parmi les acteurs locaux. Le défi (Osez !) est de réussir à lancer une opération de redécouverte du territoire à travers la réappropriation et la mobilisation des ressources endogènes, bien souvent sous-utilisées, tout en identifiant toutes ces conditions favorables à la production de valeurs matérielles et symboliques. Le soutien culturel repose enfin sur la pratique de l’écoute, de l’accueil et de l’inclusion (en accord avec les 17 objectifs du Programme 2030 des Nations Unies). C’est à cette pratique que nous nous confions, en tant qu’enseignants-chercheurs, lorsqu’il s’agit d’ajuster notre boussole dans le but d’activer des mécanismes vertueux et de déclencher des changements véritablement durables.</w:t>
      </w:r>
    </w:p>
    <w:p w14:paraId="0000003B" w14:textId="77777777" w:rsidR="0073237C" w:rsidRDefault="0073237C">
      <w:pPr>
        <w:pBdr>
          <w:top w:val="nil"/>
          <w:left w:val="nil"/>
          <w:bottom w:val="nil"/>
          <w:right w:val="nil"/>
          <w:between w:val="nil"/>
        </w:pBdr>
        <w:spacing w:after="0" w:line="240" w:lineRule="auto"/>
        <w:ind w:left="720"/>
        <w:jc w:val="both"/>
        <w:rPr>
          <w:rFonts w:ascii="Cambria" w:eastAsia="Cambria" w:hAnsi="Cambria" w:cs="Cambria"/>
          <w:color w:val="000000"/>
        </w:rPr>
      </w:pPr>
    </w:p>
    <w:p w14:paraId="0000003C" w14:textId="77777777" w:rsidR="0073237C" w:rsidRDefault="0073237C">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0000003D" w14:textId="77777777" w:rsidR="0073237C" w:rsidRDefault="0073237C">
      <w:pPr>
        <w:spacing w:after="0" w:line="240" w:lineRule="auto"/>
        <w:jc w:val="both"/>
        <w:rPr>
          <w:rFonts w:ascii="Cambria" w:eastAsia="Cambria" w:hAnsi="Cambria" w:cs="Cambria"/>
          <w:sz w:val="24"/>
          <w:szCs w:val="24"/>
        </w:rPr>
      </w:pPr>
    </w:p>
    <w:p w14:paraId="0000003E" w14:textId="77777777" w:rsidR="0073237C" w:rsidRDefault="00000000">
      <w:pPr>
        <w:spacing w:after="0" w:line="240" w:lineRule="auto"/>
        <w:jc w:val="center"/>
        <w:rPr>
          <w:rFonts w:ascii="Cambria" w:eastAsia="Cambria" w:hAnsi="Cambria" w:cs="Cambria"/>
          <w:sz w:val="24"/>
          <w:szCs w:val="24"/>
        </w:rPr>
      </w:pPr>
      <w:r>
        <w:rPr>
          <w:rFonts w:ascii="Cambria" w:eastAsia="Cambria" w:hAnsi="Cambria" w:cs="Cambria"/>
          <w:noProof/>
          <w:sz w:val="24"/>
          <w:szCs w:val="24"/>
        </w:rPr>
        <w:lastRenderedPageBreak/>
        <w:drawing>
          <wp:inline distT="0" distB="0" distL="0" distR="0" wp14:anchorId="45CFAC59" wp14:editId="4B13A880">
            <wp:extent cx="3942190" cy="2612030"/>
            <wp:effectExtent l="0" t="0" r="0" b="0"/>
            <wp:docPr id="174675570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8885" r="6210"/>
                    <a:stretch>
                      <a:fillRect/>
                    </a:stretch>
                  </pic:blipFill>
                  <pic:spPr>
                    <a:xfrm>
                      <a:off x="0" y="0"/>
                      <a:ext cx="3942190" cy="2612030"/>
                    </a:xfrm>
                    <a:prstGeom prst="rect">
                      <a:avLst/>
                    </a:prstGeom>
                    <a:ln/>
                  </pic:spPr>
                </pic:pic>
              </a:graphicData>
            </a:graphic>
          </wp:inline>
        </w:drawing>
      </w:r>
    </w:p>
    <w:p w14:paraId="0000003F" w14:textId="77777777" w:rsidR="0073237C" w:rsidRDefault="00000000">
      <w:pPr>
        <w:spacing w:after="0" w:line="240" w:lineRule="auto"/>
        <w:jc w:val="center"/>
        <w:rPr>
          <w:rFonts w:ascii="Cambria" w:eastAsia="Cambria" w:hAnsi="Cambria" w:cs="Cambria"/>
          <w:i/>
          <w:sz w:val="24"/>
          <w:szCs w:val="24"/>
        </w:rPr>
      </w:pPr>
      <w:r>
        <w:rPr>
          <w:rFonts w:ascii="Cambria" w:eastAsia="Cambria" w:hAnsi="Cambria" w:cs="Cambria"/>
          <w:i/>
          <w:sz w:val="24"/>
          <w:szCs w:val="24"/>
        </w:rPr>
        <w:t>Figure 3 – Le partenariat pour le soutien culturel</w:t>
      </w:r>
    </w:p>
    <w:p w14:paraId="00000040" w14:textId="77777777" w:rsidR="0073237C" w:rsidRDefault="0073237C">
      <w:pPr>
        <w:spacing w:after="0" w:line="240" w:lineRule="auto"/>
        <w:jc w:val="both"/>
        <w:rPr>
          <w:rFonts w:ascii="Cambria" w:eastAsia="Cambria" w:hAnsi="Cambria" w:cs="Cambria"/>
          <w:sz w:val="24"/>
          <w:szCs w:val="24"/>
        </w:rPr>
      </w:pPr>
    </w:p>
    <w:p w14:paraId="00000041" w14:textId="77777777" w:rsidR="0073237C" w:rsidRDefault="0073237C">
      <w:pPr>
        <w:spacing w:after="0" w:line="240" w:lineRule="auto"/>
        <w:jc w:val="both"/>
        <w:rPr>
          <w:rFonts w:ascii="Cambria" w:eastAsia="Cambria" w:hAnsi="Cambria" w:cs="Cambria"/>
          <w:sz w:val="24"/>
          <w:szCs w:val="24"/>
        </w:rPr>
      </w:pPr>
    </w:p>
    <w:p w14:paraId="00000042" w14:textId="77777777" w:rsidR="0073237C" w:rsidRDefault="00000000">
      <w:pPr>
        <w:spacing w:after="0" w:line="240" w:lineRule="auto"/>
        <w:jc w:val="both"/>
        <w:rPr>
          <w:rFonts w:ascii="Cambria" w:eastAsia="Cambria" w:hAnsi="Cambria" w:cs="Cambria"/>
          <w:sz w:val="24"/>
          <w:szCs w:val="24"/>
        </w:rPr>
      </w:pPr>
      <w:r>
        <w:rPr>
          <w:rFonts w:ascii="Cambria" w:eastAsia="Cambria" w:hAnsi="Cambria" w:cs="Cambria"/>
          <w:sz w:val="24"/>
          <w:szCs w:val="24"/>
        </w:rPr>
        <w:t>La collaboration a été établie avec les enseignants pour structurer une nouvelle approche socio-psycho-pédagogique, et avec les étudiants du Lycée, afin qu’ils deviennent tuteurs de soutien culturel pour accompagner des élèves en situation de fragilité dans d’autres écoles. De cette manière, les jeunes deviennent acteurs du changement en coopération avec le partenariat.</w:t>
      </w:r>
    </w:p>
    <w:p w14:paraId="00000043" w14:textId="77777777" w:rsidR="0073237C" w:rsidRDefault="00000000">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Le soutien culturel </w:t>
      </w:r>
      <w:proofErr w:type="gramStart"/>
      <w:r>
        <w:rPr>
          <w:rFonts w:ascii="Cambria" w:eastAsia="Cambria" w:hAnsi="Cambria" w:cs="Cambria"/>
          <w:sz w:val="24"/>
          <w:szCs w:val="24"/>
        </w:rPr>
        <w:t>comprend:</w:t>
      </w:r>
      <w:proofErr w:type="gramEnd"/>
    </w:p>
    <w:p w14:paraId="00000044" w14:textId="77777777" w:rsidR="0073237C" w:rsidRDefault="00000000">
      <w:pPr>
        <w:numPr>
          <w:ilvl w:val="0"/>
          <w:numId w:val="1"/>
        </w:numPr>
        <w:pBdr>
          <w:top w:val="nil"/>
          <w:left w:val="nil"/>
          <w:bottom w:val="nil"/>
          <w:right w:val="nil"/>
          <w:between w:val="nil"/>
        </w:pBdr>
        <w:spacing w:after="0" w:line="240" w:lineRule="auto"/>
        <w:ind w:left="284" w:hanging="284"/>
        <w:jc w:val="both"/>
        <w:rPr>
          <w:rFonts w:ascii="Cambria" w:eastAsia="Cambria" w:hAnsi="Cambria" w:cs="Cambria"/>
          <w:color w:val="000000"/>
          <w:sz w:val="24"/>
          <w:szCs w:val="24"/>
        </w:rPr>
      </w:pPr>
      <w:proofErr w:type="gramStart"/>
      <w:r>
        <w:rPr>
          <w:rFonts w:ascii="Cambria" w:eastAsia="Cambria" w:hAnsi="Cambria" w:cs="Cambria"/>
          <w:color w:val="000000"/>
          <w:sz w:val="24"/>
          <w:szCs w:val="24"/>
        </w:rPr>
        <w:t>des</w:t>
      </w:r>
      <w:proofErr w:type="gramEnd"/>
      <w:r>
        <w:rPr>
          <w:rFonts w:ascii="Cambria" w:eastAsia="Cambria" w:hAnsi="Cambria" w:cs="Cambria"/>
          <w:color w:val="000000"/>
          <w:sz w:val="24"/>
          <w:szCs w:val="24"/>
        </w:rPr>
        <w:t xml:space="preserve"> heures de cours magistraux sur des thèmes tels que la fragilité éducative, le décrochage scolaire et, plus largement, les inégalités et marginalités socio-territoriales ;</w:t>
      </w:r>
    </w:p>
    <w:p w14:paraId="00000045" w14:textId="77777777" w:rsidR="0073237C" w:rsidRDefault="00000000">
      <w:pPr>
        <w:numPr>
          <w:ilvl w:val="0"/>
          <w:numId w:val="1"/>
        </w:numPr>
        <w:pBdr>
          <w:top w:val="nil"/>
          <w:left w:val="nil"/>
          <w:bottom w:val="nil"/>
          <w:right w:val="nil"/>
          <w:between w:val="nil"/>
        </w:pBdr>
        <w:spacing w:after="0" w:line="240" w:lineRule="auto"/>
        <w:ind w:left="284" w:hanging="284"/>
        <w:jc w:val="both"/>
        <w:rPr>
          <w:rFonts w:ascii="Cambria" w:eastAsia="Cambria" w:hAnsi="Cambria" w:cs="Cambria"/>
          <w:color w:val="000000"/>
          <w:sz w:val="24"/>
          <w:szCs w:val="24"/>
        </w:rPr>
      </w:pPr>
      <w:proofErr w:type="gramStart"/>
      <w:r>
        <w:rPr>
          <w:rFonts w:ascii="Cambria" w:eastAsia="Cambria" w:hAnsi="Cambria" w:cs="Cambria"/>
          <w:color w:val="000000"/>
          <w:sz w:val="24"/>
          <w:szCs w:val="24"/>
        </w:rPr>
        <w:t>des</w:t>
      </w:r>
      <w:proofErr w:type="gramEnd"/>
      <w:r>
        <w:rPr>
          <w:rFonts w:ascii="Cambria" w:eastAsia="Cambria" w:hAnsi="Cambria" w:cs="Cambria"/>
          <w:color w:val="000000"/>
          <w:sz w:val="24"/>
          <w:szCs w:val="24"/>
        </w:rPr>
        <w:t xml:space="preserve"> heures de discussion et de débat pour créer un environnement d’écoute et d’inclusion;</w:t>
      </w:r>
    </w:p>
    <w:p w14:paraId="00000046" w14:textId="77777777" w:rsidR="0073237C" w:rsidRDefault="00000000">
      <w:pPr>
        <w:numPr>
          <w:ilvl w:val="0"/>
          <w:numId w:val="1"/>
        </w:numPr>
        <w:pBdr>
          <w:top w:val="nil"/>
          <w:left w:val="nil"/>
          <w:bottom w:val="nil"/>
          <w:right w:val="nil"/>
          <w:between w:val="nil"/>
        </w:pBdr>
        <w:spacing w:after="0" w:line="240" w:lineRule="auto"/>
        <w:ind w:left="284" w:hanging="284"/>
        <w:jc w:val="both"/>
        <w:rPr>
          <w:rFonts w:ascii="Cambria" w:eastAsia="Cambria" w:hAnsi="Cambria" w:cs="Cambria"/>
          <w:color w:val="000000"/>
          <w:sz w:val="24"/>
          <w:szCs w:val="24"/>
        </w:rPr>
      </w:pPr>
      <w:proofErr w:type="gramStart"/>
      <w:r>
        <w:rPr>
          <w:rFonts w:ascii="Cambria" w:eastAsia="Cambria" w:hAnsi="Cambria" w:cs="Cambria"/>
          <w:color w:val="000000"/>
          <w:sz w:val="24"/>
          <w:szCs w:val="24"/>
        </w:rPr>
        <w:t>des</w:t>
      </w:r>
      <w:proofErr w:type="gramEnd"/>
      <w:r>
        <w:rPr>
          <w:rFonts w:ascii="Cambria" w:eastAsia="Cambria" w:hAnsi="Cambria" w:cs="Cambria"/>
          <w:color w:val="000000"/>
          <w:sz w:val="24"/>
          <w:szCs w:val="24"/>
        </w:rPr>
        <w:t xml:space="preserve"> ateliers collaboratifs avec le </w:t>
      </w:r>
      <w:proofErr w:type="spellStart"/>
      <w:r>
        <w:rPr>
          <w:rFonts w:ascii="Cambria" w:eastAsia="Cambria" w:hAnsi="Cambria" w:cs="Cambria"/>
          <w:color w:val="000000"/>
          <w:sz w:val="24"/>
          <w:szCs w:val="24"/>
        </w:rPr>
        <w:t>Farm</w:t>
      </w:r>
      <w:proofErr w:type="spellEnd"/>
      <w:r>
        <w:rPr>
          <w:rFonts w:ascii="Cambria" w:eastAsia="Cambria" w:hAnsi="Cambria" w:cs="Cambria"/>
          <w:color w:val="000000"/>
          <w:sz w:val="24"/>
          <w:szCs w:val="24"/>
        </w:rPr>
        <w:t xml:space="preserve"> Cultural Park, incluant un atelier d’architecture créative pour renforcer la relation avec l’environnement local et développer des concepts de ville à partir du quartier de résidence;</w:t>
      </w:r>
    </w:p>
    <w:p w14:paraId="00000047" w14:textId="77777777" w:rsidR="0073237C" w:rsidRDefault="00000000">
      <w:pPr>
        <w:numPr>
          <w:ilvl w:val="0"/>
          <w:numId w:val="1"/>
        </w:numPr>
        <w:pBdr>
          <w:top w:val="nil"/>
          <w:left w:val="nil"/>
          <w:bottom w:val="nil"/>
          <w:right w:val="nil"/>
          <w:between w:val="nil"/>
        </w:pBdr>
        <w:spacing w:after="0" w:line="240" w:lineRule="auto"/>
        <w:ind w:left="284" w:hanging="284"/>
        <w:jc w:val="both"/>
        <w:rPr>
          <w:rFonts w:ascii="Cambria" w:eastAsia="Cambria" w:hAnsi="Cambria" w:cs="Cambria"/>
          <w:color w:val="000000"/>
          <w:sz w:val="24"/>
          <w:szCs w:val="24"/>
        </w:rPr>
      </w:pPr>
      <w:proofErr w:type="gramStart"/>
      <w:r>
        <w:rPr>
          <w:rFonts w:ascii="Cambria" w:eastAsia="Cambria" w:hAnsi="Cambria" w:cs="Cambria"/>
          <w:color w:val="000000"/>
          <w:sz w:val="24"/>
          <w:szCs w:val="24"/>
        </w:rPr>
        <w:t>des</w:t>
      </w:r>
      <w:proofErr w:type="gramEnd"/>
      <w:r>
        <w:rPr>
          <w:rFonts w:ascii="Cambria" w:eastAsia="Cambria" w:hAnsi="Cambria" w:cs="Cambria"/>
          <w:color w:val="000000"/>
          <w:sz w:val="24"/>
          <w:szCs w:val="24"/>
        </w:rPr>
        <w:t xml:space="preserve"> activités en dehors des espaces scolaires, telles que des visites culturelles ou des moments de socialisation (visites de musées et d’expositions, spectacles de théâtre, ainsi que des initiatives d’associations culturelles). Ces sorties offrent aux jeunes vulnérables l’occasion de sortir de leur cadre quotidien pour prendre conscience des « nouvelles ou autres » opportunités présentes dans leur ville, souvent méconnues car ils restent « piégés » dans leurs quartiers de résidence.</w:t>
      </w:r>
    </w:p>
    <w:p w14:paraId="00000048" w14:textId="77777777" w:rsidR="0073237C" w:rsidRDefault="00000000">
      <w:pPr>
        <w:spacing w:after="0" w:line="240" w:lineRule="auto"/>
        <w:ind w:firstLine="284"/>
        <w:jc w:val="both"/>
        <w:rPr>
          <w:rFonts w:ascii="Cambria" w:eastAsia="Cambria" w:hAnsi="Cambria" w:cs="Cambria"/>
          <w:sz w:val="24"/>
          <w:szCs w:val="24"/>
        </w:rPr>
      </w:pPr>
      <w:r>
        <w:rPr>
          <w:rFonts w:ascii="Cambria" w:eastAsia="Cambria" w:hAnsi="Cambria" w:cs="Cambria"/>
          <w:sz w:val="24"/>
          <w:szCs w:val="24"/>
        </w:rPr>
        <w:lastRenderedPageBreak/>
        <w:t>Pour la mise en œuvre du soutien, une école secondaire de premier cycle (</w:t>
      </w:r>
      <w:proofErr w:type="spellStart"/>
      <w:r>
        <w:rPr>
          <w:rFonts w:ascii="Cambria" w:eastAsia="Cambria" w:hAnsi="Cambria" w:cs="Cambria"/>
          <w:sz w:val="24"/>
          <w:szCs w:val="24"/>
        </w:rPr>
        <w:t>it</w:t>
      </w:r>
      <w:proofErr w:type="spellEnd"/>
      <w:r>
        <w:rPr>
          <w:rFonts w:ascii="Cambria" w:eastAsia="Cambria" w:hAnsi="Cambria" w:cs="Cambria"/>
          <w:sz w:val="24"/>
          <w:szCs w:val="24"/>
        </w:rPr>
        <w:t xml:space="preserve">. </w:t>
      </w:r>
      <w:r>
        <w:rPr>
          <w:rFonts w:ascii="Cambria" w:eastAsia="Cambria" w:hAnsi="Cambria" w:cs="Cambria"/>
          <w:i/>
          <w:sz w:val="24"/>
          <w:szCs w:val="24"/>
        </w:rPr>
        <w:t xml:space="preserve">I </w:t>
      </w:r>
      <w:proofErr w:type="spellStart"/>
      <w:r>
        <w:rPr>
          <w:rFonts w:ascii="Cambria" w:eastAsia="Cambria" w:hAnsi="Cambria" w:cs="Cambria"/>
          <w:i/>
          <w:sz w:val="24"/>
          <w:szCs w:val="24"/>
        </w:rPr>
        <w:t>grado</w:t>
      </w:r>
      <w:proofErr w:type="spellEnd"/>
      <w:r>
        <w:rPr>
          <w:rFonts w:ascii="Cambria" w:eastAsia="Cambria" w:hAnsi="Cambria" w:cs="Cambria"/>
          <w:sz w:val="24"/>
          <w:szCs w:val="24"/>
        </w:rPr>
        <w:t>)</w:t>
      </w:r>
      <w:r>
        <w:rPr>
          <w:rFonts w:ascii="Cambria" w:eastAsia="Cambria" w:hAnsi="Cambria" w:cs="Cambria"/>
          <w:sz w:val="24"/>
          <w:szCs w:val="24"/>
          <w:vertAlign w:val="superscript"/>
        </w:rPr>
        <w:footnoteReference w:id="6"/>
      </w:r>
      <w:r>
        <w:rPr>
          <w:rFonts w:ascii="Cambria" w:eastAsia="Cambria" w:hAnsi="Cambria" w:cs="Cambria"/>
          <w:sz w:val="24"/>
          <w:szCs w:val="24"/>
        </w:rPr>
        <w:t xml:space="preserve"> située dans le quartier de San Leone, à Catane, caractérisé par un fort degré de vulnérabilité, a été sélectionnée, ainsi qu’une classe-pilote.</w:t>
      </w:r>
    </w:p>
    <w:p w14:paraId="00000049" w14:textId="77777777" w:rsidR="0073237C" w:rsidRDefault="00000000">
      <w:pPr>
        <w:spacing w:after="0" w:line="240" w:lineRule="auto"/>
        <w:ind w:firstLine="284"/>
        <w:jc w:val="both"/>
        <w:rPr>
          <w:rFonts w:ascii="Cambria" w:eastAsia="Cambria" w:hAnsi="Cambria" w:cs="Cambria"/>
          <w:sz w:val="24"/>
          <w:szCs w:val="24"/>
        </w:rPr>
      </w:pPr>
      <w:r>
        <w:rPr>
          <w:rFonts w:ascii="Cambria" w:eastAsia="Cambria" w:hAnsi="Cambria" w:cs="Cambria"/>
          <w:sz w:val="24"/>
          <w:szCs w:val="24"/>
        </w:rPr>
        <w:t>Étant donné que le soutien culturel est un outil innovant, une grille a été conçue pour en évaluer les points faibles et les potentialités (fig. 4).</w:t>
      </w:r>
    </w:p>
    <w:p w14:paraId="0000004D" w14:textId="77F0FDDE" w:rsidR="0073237C" w:rsidRPr="00BE00A0" w:rsidRDefault="0073237C" w:rsidP="00BE00A0">
      <w:pPr>
        <w:spacing w:after="0" w:line="240" w:lineRule="auto"/>
        <w:jc w:val="both"/>
        <w:rPr>
          <w:rFonts w:ascii="Cambria" w:eastAsia="Cambria" w:hAnsi="Cambria" w:cs="Cambria"/>
          <w:sz w:val="24"/>
          <w:szCs w:val="24"/>
        </w:rPr>
      </w:pPr>
    </w:p>
    <w:p w14:paraId="393BFE6E" w14:textId="77777777" w:rsidR="00973B94" w:rsidRDefault="00973B94">
      <w:pPr>
        <w:spacing w:after="0" w:line="240" w:lineRule="auto"/>
        <w:jc w:val="center"/>
        <w:rPr>
          <w:rFonts w:ascii="Cambria" w:eastAsia="Cambria" w:hAnsi="Cambria" w:cs="Cambria"/>
          <w:i/>
          <w:sz w:val="24"/>
          <w:szCs w:val="24"/>
        </w:rPr>
      </w:pPr>
      <w:r>
        <w:rPr>
          <w:rFonts w:ascii="Cambria" w:eastAsia="Cambria" w:hAnsi="Cambria" w:cs="Cambria"/>
          <w:i/>
          <w:noProof/>
          <w:sz w:val="24"/>
          <w:szCs w:val="24"/>
        </w:rPr>
        <w:drawing>
          <wp:inline distT="0" distB="0" distL="0" distR="0" wp14:anchorId="06FEBEE3" wp14:editId="47B433E8">
            <wp:extent cx="5366458" cy="3320925"/>
            <wp:effectExtent l="0" t="0" r="0" b="0"/>
            <wp:docPr id="135987009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870092" name="Immagine 1359870092"/>
                    <pic:cNvPicPr/>
                  </pic:nvPicPr>
                  <pic:blipFill rotWithShape="1">
                    <a:blip r:embed="rId11" cstate="print">
                      <a:extLst>
                        <a:ext uri="{28A0092B-C50C-407E-A947-70E740481C1C}">
                          <a14:useLocalDpi xmlns:a14="http://schemas.microsoft.com/office/drawing/2010/main" val="0"/>
                        </a:ext>
                      </a:extLst>
                    </a:blip>
                    <a:srcRect l="2949" t="6883" r="4634" b="12166"/>
                    <a:stretch/>
                  </pic:blipFill>
                  <pic:spPr bwMode="auto">
                    <a:xfrm>
                      <a:off x="0" y="0"/>
                      <a:ext cx="5407181" cy="3346126"/>
                    </a:xfrm>
                    <a:prstGeom prst="rect">
                      <a:avLst/>
                    </a:prstGeom>
                    <a:ln>
                      <a:noFill/>
                    </a:ln>
                    <a:extLst>
                      <a:ext uri="{53640926-AAD7-44D8-BBD7-CCE9431645EC}">
                        <a14:shadowObscured xmlns:a14="http://schemas.microsoft.com/office/drawing/2010/main"/>
                      </a:ext>
                    </a:extLst>
                  </pic:spPr>
                </pic:pic>
              </a:graphicData>
            </a:graphic>
          </wp:inline>
        </w:drawing>
      </w:r>
    </w:p>
    <w:p w14:paraId="0CFD8E8B" w14:textId="38DB5BEE" w:rsidR="00973B94" w:rsidRDefault="00973B94">
      <w:pPr>
        <w:spacing w:after="0" w:line="240" w:lineRule="auto"/>
        <w:jc w:val="center"/>
        <w:rPr>
          <w:rFonts w:ascii="Cambria" w:eastAsia="Cambria" w:hAnsi="Cambria" w:cs="Cambria"/>
          <w:i/>
          <w:sz w:val="24"/>
          <w:szCs w:val="24"/>
        </w:rPr>
      </w:pPr>
      <w:r>
        <w:rPr>
          <w:rFonts w:ascii="Cambria" w:eastAsia="Cambria" w:hAnsi="Cambria" w:cs="Cambria"/>
          <w:i/>
          <w:noProof/>
          <w:sz w:val="24"/>
          <w:szCs w:val="24"/>
        </w:rPr>
        <w:drawing>
          <wp:inline distT="0" distB="0" distL="0" distR="0" wp14:anchorId="52629BEA" wp14:editId="1CCB0B59">
            <wp:extent cx="5394601" cy="1541521"/>
            <wp:effectExtent l="0" t="0" r="3175" b="0"/>
            <wp:docPr id="212375847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758477" name="Immagine 2123758477"/>
                    <pic:cNvPicPr/>
                  </pic:nvPicPr>
                  <pic:blipFill rotWithShape="1">
                    <a:blip r:embed="rId12" cstate="print">
                      <a:extLst>
                        <a:ext uri="{28A0092B-C50C-407E-A947-70E740481C1C}">
                          <a14:useLocalDpi xmlns:a14="http://schemas.microsoft.com/office/drawing/2010/main" val="0"/>
                        </a:ext>
                      </a:extLst>
                    </a:blip>
                    <a:srcRect l="2800" t="3548" r="4358" b="58900"/>
                    <a:stretch/>
                  </pic:blipFill>
                  <pic:spPr bwMode="auto">
                    <a:xfrm>
                      <a:off x="0" y="0"/>
                      <a:ext cx="5434120" cy="1552814"/>
                    </a:xfrm>
                    <a:prstGeom prst="rect">
                      <a:avLst/>
                    </a:prstGeom>
                    <a:ln>
                      <a:noFill/>
                    </a:ln>
                    <a:extLst>
                      <a:ext uri="{53640926-AAD7-44D8-BBD7-CCE9431645EC}">
                        <a14:shadowObscured xmlns:a14="http://schemas.microsoft.com/office/drawing/2010/main"/>
                      </a:ext>
                    </a:extLst>
                  </pic:spPr>
                </pic:pic>
              </a:graphicData>
            </a:graphic>
          </wp:inline>
        </w:drawing>
      </w:r>
    </w:p>
    <w:p w14:paraId="0000004E" w14:textId="4D9CA1F2" w:rsidR="0073237C" w:rsidRDefault="00000000">
      <w:pPr>
        <w:spacing w:after="0" w:line="240" w:lineRule="auto"/>
        <w:jc w:val="center"/>
        <w:rPr>
          <w:rFonts w:ascii="Cambria" w:eastAsia="Cambria" w:hAnsi="Cambria" w:cs="Cambria"/>
          <w:i/>
          <w:sz w:val="24"/>
          <w:szCs w:val="24"/>
        </w:rPr>
      </w:pPr>
      <w:r>
        <w:rPr>
          <w:rFonts w:ascii="Cambria" w:eastAsia="Cambria" w:hAnsi="Cambria" w:cs="Cambria"/>
          <w:i/>
          <w:sz w:val="24"/>
          <w:szCs w:val="24"/>
        </w:rPr>
        <w:t>Figure 4 –Grille d’évaluation du soutien culturel</w:t>
      </w:r>
    </w:p>
    <w:p w14:paraId="0000004F" w14:textId="77777777" w:rsidR="0073237C" w:rsidRDefault="0073237C">
      <w:pPr>
        <w:spacing w:after="0" w:line="240" w:lineRule="auto"/>
        <w:ind w:right="-57"/>
        <w:jc w:val="both"/>
        <w:rPr>
          <w:rFonts w:ascii="Cambria" w:eastAsia="Cambria" w:hAnsi="Cambria" w:cs="Cambria"/>
          <w:b/>
          <w:sz w:val="24"/>
          <w:szCs w:val="24"/>
        </w:rPr>
      </w:pPr>
    </w:p>
    <w:p w14:paraId="00000050" w14:textId="77777777" w:rsidR="0073237C" w:rsidRDefault="0073237C">
      <w:pPr>
        <w:spacing w:after="0" w:line="240" w:lineRule="auto"/>
        <w:ind w:right="-57"/>
        <w:jc w:val="both"/>
        <w:rPr>
          <w:rFonts w:ascii="Cambria" w:eastAsia="Cambria" w:hAnsi="Cambria" w:cs="Cambria"/>
          <w:b/>
          <w:sz w:val="24"/>
          <w:szCs w:val="24"/>
        </w:rPr>
      </w:pPr>
    </w:p>
    <w:p w14:paraId="00000051" w14:textId="77777777" w:rsidR="0073237C" w:rsidRDefault="0073237C">
      <w:pPr>
        <w:spacing w:after="0" w:line="240" w:lineRule="auto"/>
        <w:ind w:right="-57"/>
        <w:jc w:val="both"/>
        <w:rPr>
          <w:rFonts w:ascii="Cambria" w:eastAsia="Cambria" w:hAnsi="Cambria" w:cs="Cambria"/>
          <w:b/>
          <w:sz w:val="24"/>
          <w:szCs w:val="24"/>
        </w:rPr>
      </w:pPr>
    </w:p>
    <w:p w14:paraId="00000052" w14:textId="77777777" w:rsidR="0073237C" w:rsidRDefault="0073237C">
      <w:pPr>
        <w:spacing w:after="0" w:line="240" w:lineRule="auto"/>
        <w:ind w:right="-57"/>
        <w:jc w:val="both"/>
        <w:rPr>
          <w:rFonts w:ascii="Cambria" w:eastAsia="Cambria" w:hAnsi="Cambria" w:cs="Cambria"/>
          <w:b/>
          <w:sz w:val="24"/>
          <w:szCs w:val="24"/>
        </w:rPr>
      </w:pPr>
    </w:p>
    <w:p w14:paraId="00000053" w14:textId="77777777" w:rsidR="0073237C" w:rsidRDefault="0073237C">
      <w:pPr>
        <w:spacing w:after="0" w:line="240" w:lineRule="auto"/>
        <w:ind w:right="-57"/>
        <w:jc w:val="both"/>
        <w:rPr>
          <w:rFonts w:ascii="Cambria" w:eastAsia="Cambria" w:hAnsi="Cambria" w:cs="Cambria"/>
          <w:b/>
          <w:sz w:val="24"/>
          <w:szCs w:val="24"/>
        </w:rPr>
      </w:pPr>
    </w:p>
    <w:p w14:paraId="00000054" w14:textId="77777777" w:rsidR="0073237C" w:rsidRDefault="00000000">
      <w:pPr>
        <w:spacing w:after="0" w:line="240" w:lineRule="auto"/>
        <w:ind w:right="-57"/>
        <w:jc w:val="both"/>
        <w:rPr>
          <w:rFonts w:ascii="Cambria" w:eastAsia="Cambria" w:hAnsi="Cambria" w:cs="Cambria"/>
          <w:b/>
          <w:sz w:val="24"/>
          <w:szCs w:val="24"/>
        </w:rPr>
      </w:pPr>
      <w:r>
        <w:rPr>
          <w:rFonts w:ascii="Cambria" w:eastAsia="Cambria" w:hAnsi="Cambria" w:cs="Cambria"/>
          <w:b/>
          <w:sz w:val="24"/>
          <w:szCs w:val="24"/>
        </w:rPr>
        <w:t>4. Conclusions</w:t>
      </w:r>
    </w:p>
    <w:p w14:paraId="00000055" w14:textId="77777777" w:rsidR="0073237C" w:rsidRDefault="0073237C"/>
    <w:p w14:paraId="00000056" w14:textId="77777777" w:rsidR="0073237C" w:rsidRDefault="00000000">
      <w:pPr>
        <w:spacing w:after="0" w:line="240" w:lineRule="auto"/>
        <w:ind w:right="-57" w:firstLine="284"/>
        <w:jc w:val="both"/>
        <w:rPr>
          <w:rFonts w:ascii="Cambria" w:eastAsia="Cambria" w:hAnsi="Cambria" w:cs="Cambria"/>
          <w:sz w:val="24"/>
          <w:szCs w:val="24"/>
        </w:rPr>
      </w:pPr>
      <w:r>
        <w:rPr>
          <w:rFonts w:ascii="Cambria" w:eastAsia="Cambria" w:hAnsi="Cambria" w:cs="Cambria"/>
          <w:sz w:val="24"/>
          <w:szCs w:val="24"/>
        </w:rPr>
        <w:t>Le débat public et le sens commun associent souvent, à tort, la fragilité éducative et les niveaux élevés de vulnérabilité socio-économique uniquement aux pays en développement, alors qu’ils sont également très répandus dans des pays avancés comme l’Italie, où ils se reproduisent de manière intergénérationnelle, touchant même des diplômés et incluant une part significative d’adultes. Il convient également de souligner le risque, dans l’opinion publique, d’associer la fragilité éducative uniquement aux personnes ayant abandonné leurs études ou étant analphabètes, en négligeant le fait qu’elle touche également ceux qui ont participé au système éducatif. La fragilité éducative, combinée à des conditions de vulnérabilité, constitue un problème insidieux pour les nouvelles générations, les privant de leurs ressources sociales, cognitives et culturelles ainsi que des compétences essentielles à leur future insertion sociale et professionnelle. Elle encourage également des comportements antisociaux et déviants – allant du harcèlement à la consommation de drogues et d’alcool, aux jeux d’argent, aux actes d’automutilation, jusqu’au suicide ou au</w:t>
      </w:r>
      <w:proofErr w:type="gramStart"/>
      <w:r>
        <w:rPr>
          <w:rFonts w:ascii="Cambria" w:eastAsia="Cambria" w:hAnsi="Cambria" w:cs="Cambria"/>
          <w:sz w:val="24"/>
          <w:szCs w:val="24"/>
        </w:rPr>
        <w:t xml:space="preserve"> «suicide</w:t>
      </w:r>
      <w:proofErr w:type="gramEnd"/>
      <w:r>
        <w:rPr>
          <w:rFonts w:ascii="Cambria" w:eastAsia="Cambria" w:hAnsi="Cambria" w:cs="Cambria"/>
          <w:sz w:val="24"/>
          <w:szCs w:val="24"/>
        </w:rPr>
        <w:t xml:space="preserve"> social» des hikikomori (terme japonais signifiant «se mettre à l’écart», désignant ceux qui choisissent de se retirer de la vie sociale pour de longues périodes, parfois des années).</w:t>
      </w:r>
    </w:p>
    <w:p w14:paraId="00000057" w14:textId="77777777" w:rsidR="0073237C" w:rsidRDefault="00000000">
      <w:pPr>
        <w:spacing w:after="0" w:line="240" w:lineRule="auto"/>
        <w:ind w:right="-57" w:firstLine="284"/>
        <w:jc w:val="both"/>
        <w:rPr>
          <w:rFonts w:ascii="Cambria" w:eastAsia="Cambria" w:hAnsi="Cambria" w:cs="Cambria"/>
          <w:sz w:val="24"/>
          <w:szCs w:val="24"/>
        </w:rPr>
      </w:pPr>
      <w:r>
        <w:rPr>
          <w:rFonts w:ascii="Cambria" w:eastAsia="Cambria" w:hAnsi="Cambria" w:cs="Cambria"/>
          <w:sz w:val="24"/>
          <w:szCs w:val="24"/>
        </w:rPr>
        <w:t>Dans les contextes où la fragilité éducative et les conditions de vulnérabilité sont plus élevées, comme c’est le cas à Catane, il apparaît pertinent d’intervenir sur deux axes : l’aspect éducatif et le contexte socio-territorial.</w:t>
      </w:r>
    </w:p>
    <w:p w14:paraId="00000058" w14:textId="77777777" w:rsidR="0073237C" w:rsidRDefault="00000000">
      <w:pPr>
        <w:spacing w:after="0" w:line="240" w:lineRule="auto"/>
        <w:ind w:right="-57" w:firstLine="284"/>
        <w:jc w:val="both"/>
        <w:rPr>
          <w:rFonts w:ascii="Cambria" w:eastAsia="Cambria" w:hAnsi="Cambria" w:cs="Cambria"/>
          <w:sz w:val="24"/>
          <w:szCs w:val="24"/>
        </w:rPr>
      </w:pPr>
      <w:r>
        <w:rPr>
          <w:rFonts w:ascii="Cambria" w:eastAsia="Cambria" w:hAnsi="Cambria" w:cs="Cambria"/>
          <w:sz w:val="24"/>
          <w:szCs w:val="24"/>
        </w:rPr>
        <w:t>Sur ces deux aspects, le partenariat œuvre en synergie pour que le soutien culturel devienne un modèle heuristique à la fois fixe et mobile : fixe, car solidement ancré aux besoins et attentes spécifiques du territoire ; mobile, car il s’agit d’un modèle reproductible dans d’autres contextes, en Italie et dans d’autres pays européens.</w:t>
      </w:r>
    </w:p>
    <w:p w14:paraId="00000059" w14:textId="77777777" w:rsidR="0073237C" w:rsidRDefault="00000000">
      <w:pPr>
        <w:spacing w:after="0" w:line="240" w:lineRule="auto"/>
        <w:ind w:right="-57" w:firstLine="284"/>
        <w:jc w:val="both"/>
        <w:rPr>
          <w:rFonts w:ascii="Cambria" w:eastAsia="Cambria" w:hAnsi="Cambria" w:cs="Cambria"/>
          <w:sz w:val="24"/>
          <w:szCs w:val="24"/>
        </w:rPr>
      </w:pPr>
      <w:r>
        <w:rPr>
          <w:rFonts w:ascii="Cambria" w:eastAsia="Cambria" w:hAnsi="Cambria" w:cs="Cambria"/>
          <w:sz w:val="24"/>
          <w:szCs w:val="24"/>
        </w:rPr>
        <w:t>Le résultat principal réside dans la redéfinition et le renforcement du rôle de l’enseignant face aux nouveaux besoins et aux fragilités socio-culturelles émergentes, non seulement d’un point de vue didactique mais éducatif au sens large. Une offre éducative innovante et de qualité peut initier un parcours d’émancipation culturelle et sociale pour les nouvelles générations.</w:t>
      </w:r>
    </w:p>
    <w:p w14:paraId="0000005A" w14:textId="77777777" w:rsidR="0073237C" w:rsidRDefault="00000000">
      <w:pPr>
        <w:spacing w:after="0" w:line="240" w:lineRule="auto"/>
        <w:ind w:right="-57" w:firstLine="284"/>
        <w:jc w:val="both"/>
        <w:rPr>
          <w:rFonts w:ascii="Cambria" w:eastAsia="Cambria" w:hAnsi="Cambria" w:cs="Cambria"/>
          <w:sz w:val="24"/>
          <w:szCs w:val="24"/>
        </w:rPr>
      </w:pPr>
      <w:r>
        <w:rPr>
          <w:rFonts w:ascii="Cambria" w:eastAsia="Cambria" w:hAnsi="Cambria" w:cs="Cambria"/>
          <w:sz w:val="24"/>
          <w:szCs w:val="24"/>
        </w:rPr>
        <w:t xml:space="preserve">En outre, dans un contexte marqué par la pauvreté et la vulnérabilité, le partenariat adopte une démarche proactive pour la construction de nouvelles alliances visant à renforcer le capital social dans le processus de </w:t>
      </w:r>
      <w:proofErr w:type="spellStart"/>
      <w:r>
        <w:rPr>
          <w:rFonts w:ascii="Cambria" w:eastAsia="Cambria" w:hAnsi="Cambria" w:cs="Cambria"/>
          <w:sz w:val="24"/>
          <w:szCs w:val="24"/>
        </w:rPr>
        <w:t>re-territorialisation</w:t>
      </w:r>
      <w:proofErr w:type="spellEnd"/>
      <w:r>
        <w:rPr>
          <w:rFonts w:ascii="Cambria" w:eastAsia="Cambria" w:hAnsi="Cambria" w:cs="Cambria"/>
          <w:sz w:val="24"/>
          <w:szCs w:val="24"/>
        </w:rPr>
        <w:t>.</w:t>
      </w:r>
    </w:p>
    <w:p w14:paraId="0000005B" w14:textId="77777777" w:rsidR="0073237C" w:rsidRDefault="0073237C">
      <w:pPr>
        <w:spacing w:after="0" w:line="240" w:lineRule="auto"/>
        <w:ind w:right="-57"/>
        <w:jc w:val="both"/>
        <w:rPr>
          <w:rFonts w:ascii="Cambria" w:eastAsia="Cambria" w:hAnsi="Cambria" w:cs="Cambria"/>
        </w:rPr>
      </w:pPr>
    </w:p>
    <w:p w14:paraId="2E7F0277" w14:textId="77777777" w:rsidR="00A9738C" w:rsidRDefault="00A9738C">
      <w:pPr>
        <w:spacing w:after="0" w:line="240" w:lineRule="auto"/>
        <w:ind w:right="-57"/>
        <w:jc w:val="both"/>
        <w:rPr>
          <w:rFonts w:ascii="Cambria" w:eastAsia="Cambria" w:hAnsi="Cambria" w:cs="Cambria"/>
        </w:rPr>
      </w:pPr>
    </w:p>
    <w:p w14:paraId="0000005D" w14:textId="77777777" w:rsidR="0073237C" w:rsidRDefault="00000000">
      <w:pPr>
        <w:spacing w:after="0" w:line="240" w:lineRule="auto"/>
        <w:ind w:right="-57"/>
        <w:jc w:val="both"/>
        <w:rPr>
          <w:rFonts w:ascii="Cambria" w:eastAsia="Cambria" w:hAnsi="Cambria" w:cs="Cambria"/>
          <w:b/>
          <w:sz w:val="24"/>
          <w:szCs w:val="24"/>
        </w:rPr>
      </w:pPr>
      <w:r>
        <w:rPr>
          <w:rFonts w:ascii="Cambria" w:eastAsia="Cambria" w:hAnsi="Cambria" w:cs="Cambria"/>
          <w:b/>
          <w:sz w:val="24"/>
          <w:szCs w:val="24"/>
        </w:rPr>
        <w:t>5. Bibliographie</w:t>
      </w:r>
    </w:p>
    <w:p w14:paraId="0000005E" w14:textId="77777777" w:rsidR="0073237C" w:rsidRDefault="0073237C">
      <w:pPr>
        <w:spacing w:after="0" w:line="240" w:lineRule="auto"/>
        <w:ind w:right="-57"/>
        <w:jc w:val="both"/>
        <w:rPr>
          <w:rFonts w:ascii="Cambria" w:eastAsia="Cambria" w:hAnsi="Cambria" w:cs="Cambria"/>
          <w:b/>
          <w:sz w:val="24"/>
          <w:szCs w:val="24"/>
        </w:rPr>
      </w:pPr>
    </w:p>
    <w:p w14:paraId="0000005F" w14:textId="77777777" w:rsidR="0073237C" w:rsidRDefault="00000000">
      <w:pPr>
        <w:spacing w:after="0" w:line="240" w:lineRule="auto"/>
        <w:ind w:left="284" w:hanging="284"/>
        <w:jc w:val="both"/>
        <w:rPr>
          <w:rFonts w:ascii="Cambria" w:eastAsia="Cambria" w:hAnsi="Cambria" w:cs="Cambria"/>
          <w:sz w:val="24"/>
          <w:szCs w:val="24"/>
        </w:rPr>
      </w:pPr>
      <w:proofErr w:type="spellStart"/>
      <w:r>
        <w:rPr>
          <w:rFonts w:ascii="Cambria" w:eastAsia="Cambria" w:hAnsi="Cambria" w:cs="Cambria"/>
          <w:sz w:val="24"/>
          <w:szCs w:val="24"/>
        </w:rPr>
        <w:lastRenderedPageBreak/>
        <w:t>Alberio</w:t>
      </w:r>
      <w:proofErr w:type="spellEnd"/>
      <w:r>
        <w:rPr>
          <w:rFonts w:ascii="Cambria" w:eastAsia="Cambria" w:hAnsi="Cambria" w:cs="Cambria"/>
          <w:sz w:val="24"/>
          <w:szCs w:val="24"/>
        </w:rPr>
        <w:t xml:space="preserve"> M., e </w:t>
      </w:r>
      <w:proofErr w:type="spellStart"/>
      <w:r>
        <w:rPr>
          <w:rFonts w:ascii="Cambria" w:eastAsia="Cambria" w:hAnsi="Cambria" w:cs="Cambria"/>
          <w:sz w:val="24"/>
          <w:szCs w:val="24"/>
        </w:rPr>
        <w:t>Benassi</w:t>
      </w:r>
      <w:proofErr w:type="spellEnd"/>
      <w:r>
        <w:rPr>
          <w:rFonts w:ascii="Cambria" w:eastAsia="Cambria" w:hAnsi="Cambria" w:cs="Cambria"/>
          <w:sz w:val="24"/>
          <w:szCs w:val="24"/>
        </w:rPr>
        <w:t xml:space="preserve">, D., </w:t>
      </w:r>
      <w:r>
        <w:rPr>
          <w:rFonts w:ascii="Cambria" w:eastAsia="Cambria" w:hAnsi="Cambria" w:cs="Cambria"/>
          <w:i/>
          <w:sz w:val="24"/>
          <w:szCs w:val="24"/>
        </w:rPr>
        <w:t xml:space="preserve">La </w:t>
      </w:r>
      <w:proofErr w:type="spellStart"/>
      <w:r>
        <w:rPr>
          <w:rFonts w:ascii="Cambria" w:eastAsia="Cambria" w:hAnsi="Cambria" w:cs="Cambria"/>
          <w:i/>
          <w:sz w:val="24"/>
          <w:szCs w:val="24"/>
        </w:rPr>
        <w:t>dimensione</w:t>
      </w:r>
      <w:proofErr w:type="spellEnd"/>
      <w:r>
        <w:rPr>
          <w:rFonts w:ascii="Cambria" w:eastAsia="Cambria" w:hAnsi="Cambria" w:cs="Cambria"/>
          <w:i/>
          <w:sz w:val="24"/>
          <w:szCs w:val="24"/>
        </w:rPr>
        <w:t xml:space="preserve"> territoriale </w:t>
      </w:r>
      <w:proofErr w:type="spellStart"/>
      <w:r>
        <w:rPr>
          <w:rFonts w:ascii="Cambria" w:eastAsia="Cambria" w:hAnsi="Cambria" w:cs="Cambria"/>
          <w:i/>
          <w:sz w:val="24"/>
          <w:szCs w:val="24"/>
        </w:rPr>
        <w:t>della</w:t>
      </w:r>
      <w:proofErr w:type="spellEnd"/>
      <w:r>
        <w:rPr>
          <w:rFonts w:ascii="Cambria" w:eastAsia="Cambria" w:hAnsi="Cambria" w:cs="Cambria"/>
          <w:i/>
          <w:sz w:val="24"/>
          <w:szCs w:val="24"/>
        </w:rPr>
        <w:t xml:space="preserve"> </w:t>
      </w:r>
      <w:proofErr w:type="spellStart"/>
      <w:r>
        <w:rPr>
          <w:rFonts w:ascii="Cambria" w:eastAsia="Cambria" w:hAnsi="Cambria" w:cs="Cambria"/>
          <w:i/>
          <w:sz w:val="24"/>
          <w:szCs w:val="24"/>
        </w:rPr>
        <w:t>povertà</w:t>
      </w:r>
      <w:proofErr w:type="spellEnd"/>
      <w:r>
        <w:rPr>
          <w:rFonts w:ascii="Cambria" w:eastAsia="Cambria" w:hAnsi="Cambria" w:cs="Cambria"/>
          <w:i/>
          <w:sz w:val="24"/>
          <w:szCs w:val="24"/>
        </w:rPr>
        <w:t xml:space="preserve"> </w:t>
      </w:r>
      <w:r>
        <w:rPr>
          <w:rFonts w:ascii="Cambria" w:eastAsia="Cambria" w:hAnsi="Cambria" w:cs="Cambria"/>
          <w:sz w:val="24"/>
          <w:szCs w:val="24"/>
        </w:rPr>
        <w:t xml:space="preserve">in </w:t>
      </w:r>
      <w:proofErr w:type="spellStart"/>
      <w:r>
        <w:rPr>
          <w:rFonts w:ascii="Cambria" w:eastAsia="Cambria" w:hAnsi="Cambria" w:cs="Cambria"/>
          <w:sz w:val="24"/>
          <w:szCs w:val="24"/>
        </w:rPr>
        <w:t>Nuvolati</w:t>
      </w:r>
      <w:proofErr w:type="spellEnd"/>
      <w:r>
        <w:rPr>
          <w:rFonts w:ascii="Cambria" w:eastAsia="Cambria" w:hAnsi="Cambria" w:cs="Cambria"/>
          <w:sz w:val="24"/>
          <w:szCs w:val="24"/>
        </w:rPr>
        <w:t xml:space="preserve"> G. e D’</w:t>
      </w:r>
      <w:proofErr w:type="spellStart"/>
      <w:r>
        <w:rPr>
          <w:rFonts w:ascii="Cambria" w:eastAsia="Cambria" w:hAnsi="Cambria" w:cs="Cambria"/>
          <w:sz w:val="24"/>
          <w:szCs w:val="24"/>
        </w:rPr>
        <w:t>Ovidio</w:t>
      </w:r>
      <w:proofErr w:type="spellEnd"/>
      <w:r>
        <w:rPr>
          <w:rFonts w:ascii="Cambria" w:eastAsia="Cambria" w:hAnsi="Cambria" w:cs="Cambria"/>
          <w:sz w:val="24"/>
          <w:szCs w:val="24"/>
        </w:rPr>
        <w:t xml:space="preserve"> M. (</w:t>
      </w:r>
      <w:proofErr w:type="spellStart"/>
      <w:r>
        <w:rPr>
          <w:rFonts w:ascii="Cambria" w:eastAsia="Cambria" w:hAnsi="Cambria" w:cs="Cambria"/>
          <w:sz w:val="24"/>
          <w:szCs w:val="24"/>
        </w:rPr>
        <w:t>a</w:t>
      </w:r>
      <w:proofErr w:type="spellEnd"/>
      <w:r>
        <w:rPr>
          <w:rFonts w:ascii="Cambria" w:eastAsia="Cambria" w:hAnsi="Cambria" w:cs="Cambria"/>
          <w:sz w:val="24"/>
          <w:szCs w:val="24"/>
        </w:rPr>
        <w:t xml:space="preserve"> cura di) </w:t>
      </w:r>
      <w:proofErr w:type="spellStart"/>
      <w:r>
        <w:rPr>
          <w:rFonts w:ascii="Cambria" w:eastAsia="Cambria" w:hAnsi="Cambria" w:cs="Cambria"/>
          <w:sz w:val="24"/>
          <w:szCs w:val="24"/>
        </w:rPr>
        <w:t>Temi</w:t>
      </w:r>
      <w:proofErr w:type="spellEnd"/>
      <w:r>
        <w:rPr>
          <w:rFonts w:ascii="Cambria" w:eastAsia="Cambria" w:hAnsi="Cambria" w:cs="Cambria"/>
          <w:sz w:val="24"/>
          <w:szCs w:val="24"/>
        </w:rPr>
        <w:t xml:space="preserve"> e </w:t>
      </w:r>
      <w:proofErr w:type="spellStart"/>
      <w:r>
        <w:rPr>
          <w:rFonts w:ascii="Cambria" w:eastAsia="Cambria" w:hAnsi="Cambria" w:cs="Cambria"/>
          <w:sz w:val="24"/>
          <w:szCs w:val="24"/>
        </w:rPr>
        <w:t>metodi</w:t>
      </w:r>
      <w:proofErr w:type="spellEnd"/>
      <w:r>
        <w:rPr>
          <w:rFonts w:ascii="Cambria" w:eastAsia="Cambria" w:hAnsi="Cambria" w:cs="Cambria"/>
          <w:sz w:val="24"/>
          <w:szCs w:val="24"/>
        </w:rPr>
        <w:t xml:space="preserve"> per la </w:t>
      </w:r>
      <w:proofErr w:type="spellStart"/>
      <w:r>
        <w:rPr>
          <w:rFonts w:ascii="Cambria" w:eastAsia="Cambria" w:hAnsi="Cambria" w:cs="Cambria"/>
          <w:sz w:val="24"/>
          <w:szCs w:val="24"/>
        </w:rPr>
        <w:t>sociologia</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del</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territorio</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Utet</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Università</w:t>
      </w:r>
      <w:proofErr w:type="spellEnd"/>
      <w:r>
        <w:rPr>
          <w:rFonts w:ascii="Cambria" w:eastAsia="Cambria" w:hAnsi="Cambria" w:cs="Cambria"/>
          <w:sz w:val="24"/>
          <w:szCs w:val="24"/>
        </w:rPr>
        <w:t>, Torino, 2022.</w:t>
      </w:r>
    </w:p>
    <w:p w14:paraId="00000060" w14:textId="77777777" w:rsidR="0073237C" w:rsidRDefault="00000000">
      <w:pPr>
        <w:spacing w:after="0" w:line="240" w:lineRule="auto"/>
        <w:ind w:left="284" w:hanging="284"/>
        <w:jc w:val="both"/>
        <w:rPr>
          <w:rFonts w:ascii="Cambria" w:eastAsia="Cambria" w:hAnsi="Cambria" w:cs="Cambria"/>
          <w:sz w:val="24"/>
          <w:szCs w:val="24"/>
        </w:rPr>
      </w:pPr>
      <w:proofErr w:type="spellStart"/>
      <w:r>
        <w:rPr>
          <w:rFonts w:ascii="Cambria" w:eastAsia="Cambria" w:hAnsi="Cambria" w:cs="Cambria"/>
          <w:sz w:val="24"/>
          <w:szCs w:val="24"/>
        </w:rPr>
        <w:t>Battaglini</w:t>
      </w:r>
      <w:proofErr w:type="spellEnd"/>
      <w:r>
        <w:rPr>
          <w:rFonts w:ascii="Cambria" w:eastAsia="Cambria" w:hAnsi="Cambria" w:cs="Cambria"/>
          <w:sz w:val="24"/>
          <w:szCs w:val="24"/>
        </w:rPr>
        <w:t xml:space="preserve"> E., </w:t>
      </w:r>
      <w:proofErr w:type="spellStart"/>
      <w:r>
        <w:rPr>
          <w:rFonts w:ascii="Cambria" w:eastAsia="Cambria" w:hAnsi="Cambria" w:cs="Cambria"/>
          <w:i/>
          <w:sz w:val="24"/>
          <w:szCs w:val="24"/>
        </w:rPr>
        <w:t>Sviluppo</w:t>
      </w:r>
      <w:proofErr w:type="spellEnd"/>
      <w:r>
        <w:rPr>
          <w:rFonts w:ascii="Cambria" w:eastAsia="Cambria" w:hAnsi="Cambria" w:cs="Cambria"/>
          <w:i/>
          <w:sz w:val="24"/>
          <w:szCs w:val="24"/>
        </w:rPr>
        <w:t xml:space="preserve"> territoriale. Dal </w:t>
      </w:r>
      <w:proofErr w:type="spellStart"/>
      <w:r>
        <w:rPr>
          <w:rFonts w:ascii="Cambria" w:eastAsia="Cambria" w:hAnsi="Cambria" w:cs="Cambria"/>
          <w:i/>
          <w:sz w:val="24"/>
          <w:szCs w:val="24"/>
        </w:rPr>
        <w:t>disegno</w:t>
      </w:r>
      <w:proofErr w:type="spellEnd"/>
      <w:r>
        <w:rPr>
          <w:rFonts w:ascii="Cambria" w:eastAsia="Cambria" w:hAnsi="Cambria" w:cs="Cambria"/>
          <w:i/>
          <w:sz w:val="24"/>
          <w:szCs w:val="24"/>
        </w:rPr>
        <w:t xml:space="preserve"> </w:t>
      </w:r>
      <w:proofErr w:type="spellStart"/>
      <w:r>
        <w:rPr>
          <w:rFonts w:ascii="Cambria" w:eastAsia="Cambria" w:hAnsi="Cambria" w:cs="Cambria"/>
          <w:i/>
          <w:sz w:val="24"/>
          <w:szCs w:val="24"/>
        </w:rPr>
        <w:t>della</w:t>
      </w:r>
      <w:proofErr w:type="spellEnd"/>
      <w:r>
        <w:rPr>
          <w:rFonts w:ascii="Cambria" w:eastAsia="Cambria" w:hAnsi="Cambria" w:cs="Cambria"/>
          <w:i/>
          <w:sz w:val="24"/>
          <w:szCs w:val="24"/>
        </w:rPr>
        <w:t xml:space="preserve"> </w:t>
      </w:r>
      <w:proofErr w:type="spellStart"/>
      <w:r>
        <w:rPr>
          <w:rFonts w:ascii="Cambria" w:eastAsia="Cambria" w:hAnsi="Cambria" w:cs="Cambria"/>
          <w:i/>
          <w:sz w:val="24"/>
          <w:szCs w:val="24"/>
        </w:rPr>
        <w:t>ricerca</w:t>
      </w:r>
      <w:proofErr w:type="spellEnd"/>
      <w:r>
        <w:rPr>
          <w:rFonts w:ascii="Cambria" w:eastAsia="Cambria" w:hAnsi="Cambria" w:cs="Cambria"/>
          <w:i/>
          <w:sz w:val="24"/>
          <w:szCs w:val="24"/>
        </w:rPr>
        <w:t xml:space="preserve"> alla </w:t>
      </w:r>
      <w:proofErr w:type="spellStart"/>
      <w:r>
        <w:rPr>
          <w:rFonts w:ascii="Cambria" w:eastAsia="Cambria" w:hAnsi="Cambria" w:cs="Cambria"/>
          <w:i/>
          <w:sz w:val="24"/>
          <w:szCs w:val="24"/>
        </w:rPr>
        <w:t>valutazione</w:t>
      </w:r>
      <w:proofErr w:type="spellEnd"/>
      <w:r>
        <w:rPr>
          <w:rFonts w:ascii="Cambria" w:eastAsia="Cambria" w:hAnsi="Cambria" w:cs="Cambria"/>
          <w:i/>
          <w:sz w:val="24"/>
          <w:szCs w:val="24"/>
        </w:rPr>
        <w:t xml:space="preserve"> dei </w:t>
      </w:r>
      <w:proofErr w:type="spellStart"/>
      <w:r>
        <w:rPr>
          <w:rFonts w:ascii="Cambria" w:eastAsia="Cambria" w:hAnsi="Cambria" w:cs="Cambria"/>
          <w:i/>
          <w:sz w:val="24"/>
          <w:szCs w:val="24"/>
        </w:rPr>
        <w:t>risultati</w:t>
      </w:r>
      <w:proofErr w:type="spellEnd"/>
      <w:r>
        <w:rPr>
          <w:rFonts w:ascii="Cambria" w:eastAsia="Cambria" w:hAnsi="Cambria" w:cs="Cambria"/>
          <w:sz w:val="24"/>
          <w:szCs w:val="24"/>
        </w:rPr>
        <w:t xml:space="preserve">, Franco </w:t>
      </w:r>
      <w:proofErr w:type="spellStart"/>
      <w:r>
        <w:rPr>
          <w:rFonts w:ascii="Cambria" w:eastAsia="Cambria" w:hAnsi="Cambria" w:cs="Cambria"/>
          <w:sz w:val="24"/>
          <w:szCs w:val="24"/>
        </w:rPr>
        <w:t>Angeli</w:t>
      </w:r>
      <w:proofErr w:type="spellEnd"/>
      <w:r>
        <w:rPr>
          <w:rFonts w:ascii="Cambria" w:eastAsia="Cambria" w:hAnsi="Cambria" w:cs="Cambria"/>
          <w:sz w:val="24"/>
          <w:szCs w:val="24"/>
        </w:rPr>
        <w:t>, Milano, 2014.</w:t>
      </w:r>
    </w:p>
    <w:p w14:paraId="00000061" w14:textId="77777777" w:rsidR="0073237C" w:rsidRDefault="00000000">
      <w:pPr>
        <w:spacing w:after="0" w:line="240" w:lineRule="auto"/>
        <w:ind w:left="284" w:hanging="284"/>
        <w:jc w:val="both"/>
        <w:rPr>
          <w:rFonts w:ascii="Cambria" w:eastAsia="Cambria" w:hAnsi="Cambria" w:cs="Cambria"/>
          <w:sz w:val="24"/>
          <w:szCs w:val="24"/>
        </w:rPr>
      </w:pPr>
      <w:proofErr w:type="spellStart"/>
      <w:r>
        <w:rPr>
          <w:rFonts w:ascii="Cambria" w:eastAsia="Cambria" w:hAnsi="Cambria" w:cs="Cambria"/>
          <w:sz w:val="24"/>
          <w:szCs w:val="24"/>
        </w:rPr>
        <w:t>Gaggioli</w:t>
      </w:r>
      <w:proofErr w:type="spellEnd"/>
      <w:r>
        <w:rPr>
          <w:rFonts w:ascii="Cambria" w:eastAsia="Cambria" w:hAnsi="Cambria" w:cs="Cambria"/>
          <w:sz w:val="24"/>
          <w:szCs w:val="24"/>
        </w:rPr>
        <w:t xml:space="preserve"> C., </w:t>
      </w:r>
      <w:proofErr w:type="spellStart"/>
      <w:r>
        <w:rPr>
          <w:rFonts w:ascii="Cambria" w:eastAsia="Cambria" w:hAnsi="Cambria" w:cs="Cambria"/>
          <w:sz w:val="24"/>
          <w:szCs w:val="24"/>
        </w:rPr>
        <w:t>Gabbi</w:t>
      </w:r>
      <w:proofErr w:type="spellEnd"/>
      <w:r>
        <w:rPr>
          <w:rFonts w:ascii="Cambria" w:eastAsia="Cambria" w:hAnsi="Cambria" w:cs="Cambria"/>
          <w:sz w:val="24"/>
          <w:szCs w:val="24"/>
        </w:rPr>
        <w:t xml:space="preserve"> E., </w:t>
      </w:r>
      <w:proofErr w:type="spellStart"/>
      <w:r>
        <w:rPr>
          <w:rFonts w:ascii="Cambria" w:eastAsia="Cambria" w:hAnsi="Cambria" w:cs="Cambria"/>
          <w:sz w:val="24"/>
          <w:szCs w:val="24"/>
        </w:rPr>
        <w:t>Ranieri</w:t>
      </w:r>
      <w:proofErr w:type="spellEnd"/>
      <w:r>
        <w:rPr>
          <w:rFonts w:ascii="Cambria" w:eastAsia="Cambria" w:hAnsi="Cambria" w:cs="Cambria"/>
          <w:sz w:val="24"/>
          <w:szCs w:val="24"/>
        </w:rPr>
        <w:t xml:space="preserve"> M., Il </w:t>
      </w:r>
      <w:proofErr w:type="spellStart"/>
      <w:r>
        <w:rPr>
          <w:rFonts w:ascii="Cambria" w:eastAsia="Cambria" w:hAnsi="Cambria" w:cs="Cambria"/>
          <w:sz w:val="24"/>
          <w:szCs w:val="24"/>
        </w:rPr>
        <w:t>lavoro</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dell’educatore</w:t>
      </w:r>
      <w:proofErr w:type="spellEnd"/>
      <w:r>
        <w:rPr>
          <w:rFonts w:ascii="Cambria" w:eastAsia="Cambria" w:hAnsi="Cambria" w:cs="Cambria"/>
          <w:sz w:val="24"/>
          <w:szCs w:val="24"/>
        </w:rPr>
        <w:t xml:space="preserve"> al tempo </w:t>
      </w:r>
      <w:proofErr w:type="spellStart"/>
      <w:r>
        <w:rPr>
          <w:rFonts w:ascii="Cambria" w:eastAsia="Cambria" w:hAnsi="Cambria" w:cs="Cambria"/>
          <w:sz w:val="24"/>
          <w:szCs w:val="24"/>
        </w:rPr>
        <w:t>del</w:t>
      </w:r>
      <w:proofErr w:type="spellEnd"/>
      <w:r>
        <w:rPr>
          <w:rFonts w:ascii="Cambria" w:eastAsia="Cambria" w:hAnsi="Cambria" w:cs="Cambria"/>
          <w:sz w:val="24"/>
          <w:szCs w:val="24"/>
        </w:rPr>
        <w:t xml:space="preserve"> Covid - 19. </w:t>
      </w:r>
      <w:proofErr w:type="spellStart"/>
      <w:r>
        <w:rPr>
          <w:rFonts w:ascii="Cambria" w:eastAsia="Cambria" w:hAnsi="Cambria" w:cs="Cambria"/>
          <w:sz w:val="24"/>
          <w:szCs w:val="24"/>
        </w:rPr>
        <w:t>Uno</w:t>
      </w:r>
      <w:proofErr w:type="spellEnd"/>
      <w:r>
        <w:rPr>
          <w:rFonts w:ascii="Cambria" w:eastAsia="Cambria" w:hAnsi="Cambria" w:cs="Cambria"/>
          <w:sz w:val="24"/>
          <w:szCs w:val="24"/>
        </w:rPr>
        <w:t xml:space="preserve"> studio </w:t>
      </w:r>
      <w:proofErr w:type="spellStart"/>
      <w:r>
        <w:rPr>
          <w:rFonts w:ascii="Cambria" w:eastAsia="Cambria" w:hAnsi="Cambria" w:cs="Cambria"/>
          <w:sz w:val="24"/>
          <w:szCs w:val="24"/>
        </w:rPr>
        <w:t>sull’impatto</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dell’emergenza</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sanitaria</w:t>
      </w:r>
      <w:proofErr w:type="spellEnd"/>
      <w:r>
        <w:rPr>
          <w:rFonts w:ascii="Cambria" w:eastAsia="Cambria" w:hAnsi="Cambria" w:cs="Cambria"/>
          <w:sz w:val="24"/>
          <w:szCs w:val="24"/>
        </w:rPr>
        <w:t xml:space="preserve"> e </w:t>
      </w:r>
      <w:proofErr w:type="spellStart"/>
      <w:r>
        <w:rPr>
          <w:rFonts w:ascii="Cambria" w:eastAsia="Cambria" w:hAnsi="Cambria" w:cs="Cambria"/>
          <w:sz w:val="24"/>
          <w:szCs w:val="24"/>
        </w:rPr>
        <w:t>sul</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ruolo</w:t>
      </w:r>
      <w:proofErr w:type="spellEnd"/>
      <w:r>
        <w:rPr>
          <w:rFonts w:ascii="Cambria" w:eastAsia="Cambria" w:hAnsi="Cambria" w:cs="Cambria"/>
          <w:sz w:val="24"/>
          <w:szCs w:val="24"/>
        </w:rPr>
        <w:t xml:space="preserve"> delle </w:t>
      </w:r>
      <w:proofErr w:type="spellStart"/>
      <w:r>
        <w:rPr>
          <w:rFonts w:ascii="Cambria" w:eastAsia="Cambria" w:hAnsi="Cambria" w:cs="Cambria"/>
          <w:sz w:val="24"/>
          <w:szCs w:val="24"/>
        </w:rPr>
        <w:t>tecnologie</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Form@re</w:t>
      </w:r>
      <w:proofErr w:type="spellEnd"/>
      <w:r>
        <w:rPr>
          <w:rFonts w:ascii="Cambria" w:eastAsia="Cambria" w:hAnsi="Cambria" w:cs="Cambria"/>
          <w:sz w:val="24"/>
          <w:szCs w:val="24"/>
        </w:rPr>
        <w:t xml:space="preserve">. Open Journal per la </w:t>
      </w:r>
      <w:proofErr w:type="spellStart"/>
      <w:r>
        <w:rPr>
          <w:rFonts w:ascii="Cambria" w:eastAsia="Cambria" w:hAnsi="Cambria" w:cs="Cambria"/>
          <w:sz w:val="24"/>
          <w:szCs w:val="24"/>
        </w:rPr>
        <w:t>formazione</w:t>
      </w:r>
      <w:proofErr w:type="spellEnd"/>
      <w:r>
        <w:rPr>
          <w:rFonts w:ascii="Cambria" w:eastAsia="Cambria" w:hAnsi="Cambria" w:cs="Cambria"/>
          <w:sz w:val="24"/>
          <w:szCs w:val="24"/>
        </w:rPr>
        <w:t xml:space="preserve"> in </w:t>
      </w:r>
      <w:proofErr w:type="spellStart"/>
      <w:r>
        <w:rPr>
          <w:rFonts w:ascii="Cambria" w:eastAsia="Cambria" w:hAnsi="Cambria" w:cs="Cambria"/>
          <w:sz w:val="24"/>
          <w:szCs w:val="24"/>
        </w:rPr>
        <w:t>rete</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University</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Press</w:t>
      </w:r>
      <w:proofErr w:type="spellEnd"/>
      <w:r>
        <w:rPr>
          <w:rFonts w:ascii="Cambria" w:eastAsia="Cambria" w:hAnsi="Cambria" w:cs="Cambria"/>
          <w:sz w:val="24"/>
          <w:szCs w:val="24"/>
        </w:rPr>
        <w:t>, Firenze, (2021).</w:t>
      </w:r>
    </w:p>
    <w:p w14:paraId="00000062" w14:textId="77777777" w:rsidR="0073237C" w:rsidRDefault="00000000">
      <w:pPr>
        <w:spacing w:after="0" w:line="240" w:lineRule="auto"/>
        <w:ind w:left="284" w:hanging="284"/>
        <w:jc w:val="both"/>
        <w:rPr>
          <w:rFonts w:ascii="Cambria" w:eastAsia="Cambria" w:hAnsi="Cambria" w:cs="Cambria"/>
          <w:sz w:val="24"/>
          <w:szCs w:val="24"/>
        </w:rPr>
      </w:pPr>
      <w:proofErr w:type="spellStart"/>
      <w:r>
        <w:rPr>
          <w:rFonts w:ascii="Cambria" w:eastAsia="Cambria" w:hAnsi="Cambria" w:cs="Cambria"/>
          <w:sz w:val="24"/>
          <w:szCs w:val="24"/>
        </w:rPr>
        <w:t>Giancola</w:t>
      </w:r>
      <w:proofErr w:type="spellEnd"/>
      <w:r>
        <w:rPr>
          <w:rFonts w:ascii="Cambria" w:eastAsia="Cambria" w:hAnsi="Cambria" w:cs="Cambria"/>
          <w:sz w:val="24"/>
          <w:szCs w:val="24"/>
        </w:rPr>
        <w:t xml:space="preserve"> O., </w:t>
      </w:r>
      <w:proofErr w:type="spellStart"/>
      <w:r>
        <w:rPr>
          <w:rFonts w:ascii="Cambria" w:eastAsia="Cambria" w:hAnsi="Cambria" w:cs="Cambria"/>
          <w:sz w:val="24"/>
          <w:szCs w:val="24"/>
        </w:rPr>
        <w:t>Salmieri</w:t>
      </w:r>
      <w:proofErr w:type="spellEnd"/>
      <w:r>
        <w:rPr>
          <w:rFonts w:ascii="Cambria" w:eastAsia="Cambria" w:hAnsi="Cambria" w:cs="Cambria"/>
          <w:sz w:val="24"/>
          <w:szCs w:val="24"/>
        </w:rPr>
        <w:t xml:space="preserve"> L., </w:t>
      </w:r>
      <w:r>
        <w:rPr>
          <w:rFonts w:ascii="Cambria" w:eastAsia="Cambria" w:hAnsi="Cambria" w:cs="Cambria"/>
          <w:i/>
          <w:sz w:val="24"/>
          <w:szCs w:val="24"/>
        </w:rPr>
        <w:t xml:space="preserve">La </w:t>
      </w:r>
      <w:proofErr w:type="spellStart"/>
      <w:r>
        <w:rPr>
          <w:rFonts w:ascii="Cambria" w:eastAsia="Cambria" w:hAnsi="Cambria" w:cs="Cambria"/>
          <w:i/>
          <w:sz w:val="24"/>
          <w:szCs w:val="24"/>
        </w:rPr>
        <w:t>povertà</w:t>
      </w:r>
      <w:proofErr w:type="spellEnd"/>
      <w:r>
        <w:rPr>
          <w:rFonts w:ascii="Cambria" w:eastAsia="Cambria" w:hAnsi="Cambria" w:cs="Cambria"/>
          <w:i/>
          <w:sz w:val="24"/>
          <w:szCs w:val="24"/>
        </w:rPr>
        <w:t xml:space="preserve"> </w:t>
      </w:r>
      <w:proofErr w:type="spellStart"/>
      <w:r>
        <w:rPr>
          <w:rFonts w:ascii="Cambria" w:eastAsia="Cambria" w:hAnsi="Cambria" w:cs="Cambria"/>
          <w:i/>
          <w:sz w:val="24"/>
          <w:szCs w:val="24"/>
        </w:rPr>
        <w:t>educativa</w:t>
      </w:r>
      <w:proofErr w:type="spellEnd"/>
      <w:r>
        <w:rPr>
          <w:rFonts w:ascii="Cambria" w:eastAsia="Cambria" w:hAnsi="Cambria" w:cs="Cambria"/>
          <w:i/>
          <w:sz w:val="24"/>
          <w:szCs w:val="24"/>
        </w:rPr>
        <w:t xml:space="preserve"> in Italia. Dati, </w:t>
      </w:r>
      <w:proofErr w:type="spellStart"/>
      <w:r>
        <w:rPr>
          <w:rFonts w:ascii="Cambria" w:eastAsia="Cambria" w:hAnsi="Cambria" w:cs="Cambria"/>
          <w:i/>
          <w:sz w:val="24"/>
          <w:szCs w:val="24"/>
        </w:rPr>
        <w:t>analisi</w:t>
      </w:r>
      <w:proofErr w:type="spellEnd"/>
      <w:r>
        <w:rPr>
          <w:rFonts w:ascii="Cambria" w:eastAsia="Cambria" w:hAnsi="Cambria" w:cs="Cambria"/>
          <w:i/>
          <w:sz w:val="24"/>
          <w:szCs w:val="24"/>
        </w:rPr>
        <w:t xml:space="preserve">, </w:t>
      </w:r>
      <w:proofErr w:type="spellStart"/>
      <w:r>
        <w:rPr>
          <w:rFonts w:ascii="Cambria" w:eastAsia="Cambria" w:hAnsi="Cambria" w:cs="Cambria"/>
          <w:i/>
          <w:sz w:val="24"/>
          <w:szCs w:val="24"/>
        </w:rPr>
        <w:t>politiche</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Carocci</w:t>
      </w:r>
      <w:proofErr w:type="spellEnd"/>
      <w:r>
        <w:rPr>
          <w:rFonts w:ascii="Cambria" w:eastAsia="Cambria" w:hAnsi="Cambria" w:cs="Cambria"/>
          <w:sz w:val="24"/>
          <w:szCs w:val="24"/>
        </w:rPr>
        <w:t>, Roma, 2023.</w:t>
      </w:r>
    </w:p>
    <w:p w14:paraId="6D0F3229" w14:textId="03E92ED2" w:rsidR="00F9192D" w:rsidRPr="00181268" w:rsidRDefault="00F9192D">
      <w:pPr>
        <w:spacing w:after="0" w:line="240" w:lineRule="auto"/>
        <w:ind w:left="284" w:hanging="284"/>
        <w:jc w:val="both"/>
        <w:rPr>
          <w:rFonts w:ascii="Cambria" w:eastAsia="Cambria" w:hAnsi="Cambria" w:cs="Cambria"/>
          <w:color w:val="000000" w:themeColor="text1"/>
          <w:sz w:val="24"/>
          <w:szCs w:val="24"/>
        </w:rPr>
      </w:pPr>
      <w:proofErr w:type="spellStart"/>
      <w:r w:rsidRPr="00181268">
        <w:rPr>
          <w:rFonts w:ascii="Cambria" w:eastAsia="Cambria" w:hAnsi="Cambria" w:cs="Cambria"/>
          <w:color w:val="000000" w:themeColor="text1"/>
          <w:sz w:val="24"/>
          <w:szCs w:val="24"/>
        </w:rPr>
        <w:t>Houtum</w:t>
      </w:r>
      <w:proofErr w:type="spellEnd"/>
      <w:r w:rsidRPr="00181268">
        <w:rPr>
          <w:rFonts w:ascii="Cambria" w:eastAsia="Cambria" w:hAnsi="Cambria" w:cs="Cambria"/>
          <w:color w:val="000000" w:themeColor="text1"/>
          <w:sz w:val="24"/>
          <w:szCs w:val="24"/>
        </w:rPr>
        <w:t xml:space="preserve"> H., J. van, </w:t>
      </w:r>
      <w:proofErr w:type="spellStart"/>
      <w:r w:rsidRPr="00181268">
        <w:rPr>
          <w:rFonts w:ascii="Cambria" w:eastAsia="Cambria" w:hAnsi="Cambria" w:cs="Cambria"/>
          <w:i/>
          <w:iCs/>
          <w:color w:val="000000" w:themeColor="text1"/>
          <w:sz w:val="24"/>
          <w:szCs w:val="24"/>
        </w:rPr>
        <w:t>Deterritorilization</w:t>
      </w:r>
      <w:proofErr w:type="spellEnd"/>
      <w:r w:rsidRPr="00181268">
        <w:rPr>
          <w:rFonts w:ascii="Cambria" w:eastAsia="Cambria" w:hAnsi="Cambria" w:cs="Cambria"/>
          <w:i/>
          <w:iCs/>
          <w:color w:val="000000" w:themeColor="text1"/>
          <w:sz w:val="24"/>
          <w:szCs w:val="24"/>
        </w:rPr>
        <w:t xml:space="preserve"> </w:t>
      </w:r>
      <w:r w:rsidRPr="00181268">
        <w:rPr>
          <w:rFonts w:ascii="Cambria" w:eastAsia="Cambria" w:hAnsi="Cambria" w:cs="Cambria"/>
          <w:color w:val="000000" w:themeColor="text1"/>
          <w:sz w:val="24"/>
          <w:szCs w:val="24"/>
        </w:rPr>
        <w:t xml:space="preserve">in </w:t>
      </w:r>
      <w:proofErr w:type="spellStart"/>
      <w:r w:rsidRPr="00181268">
        <w:rPr>
          <w:rFonts w:ascii="Cambria" w:eastAsia="Cambria" w:hAnsi="Cambria" w:cs="Cambria"/>
          <w:color w:val="000000" w:themeColor="text1"/>
          <w:sz w:val="24"/>
          <w:szCs w:val="24"/>
        </w:rPr>
        <w:t>Bevir</w:t>
      </w:r>
      <w:proofErr w:type="spellEnd"/>
      <w:r w:rsidRPr="00181268">
        <w:rPr>
          <w:rFonts w:ascii="Cambria" w:eastAsia="Cambria" w:hAnsi="Cambria" w:cs="Cambria"/>
          <w:color w:val="000000" w:themeColor="text1"/>
          <w:sz w:val="24"/>
          <w:szCs w:val="24"/>
        </w:rPr>
        <w:t xml:space="preserve"> M., Patton, P. (</w:t>
      </w:r>
      <w:proofErr w:type="spellStart"/>
      <w:r w:rsidRPr="00181268">
        <w:rPr>
          <w:rFonts w:ascii="Cambria" w:eastAsia="Cambria" w:hAnsi="Cambria" w:cs="Cambria"/>
          <w:color w:val="000000" w:themeColor="text1"/>
          <w:sz w:val="24"/>
          <w:szCs w:val="24"/>
        </w:rPr>
        <w:t>a</w:t>
      </w:r>
      <w:proofErr w:type="spellEnd"/>
      <w:r w:rsidRPr="00181268">
        <w:rPr>
          <w:rFonts w:ascii="Cambria" w:eastAsia="Cambria" w:hAnsi="Cambria" w:cs="Cambria"/>
          <w:color w:val="000000" w:themeColor="text1"/>
          <w:sz w:val="24"/>
          <w:szCs w:val="24"/>
        </w:rPr>
        <w:t xml:space="preserve"> cura di), </w:t>
      </w:r>
      <w:proofErr w:type="spellStart"/>
      <w:r w:rsidRPr="00181268">
        <w:rPr>
          <w:rFonts w:ascii="Cambria" w:eastAsia="Cambria" w:hAnsi="Cambria" w:cs="Cambria"/>
          <w:color w:val="000000" w:themeColor="text1"/>
          <w:sz w:val="24"/>
          <w:szCs w:val="24"/>
        </w:rPr>
        <w:t>Encyclopedia</w:t>
      </w:r>
      <w:proofErr w:type="spellEnd"/>
      <w:r w:rsidRPr="00181268">
        <w:rPr>
          <w:rFonts w:ascii="Cambria" w:eastAsia="Cambria" w:hAnsi="Cambria" w:cs="Cambria"/>
          <w:color w:val="000000" w:themeColor="text1"/>
          <w:sz w:val="24"/>
          <w:szCs w:val="24"/>
        </w:rPr>
        <w:t xml:space="preserve"> of </w:t>
      </w:r>
      <w:proofErr w:type="spellStart"/>
      <w:r w:rsidRPr="00181268">
        <w:rPr>
          <w:rFonts w:ascii="Cambria" w:eastAsia="Cambria" w:hAnsi="Cambria" w:cs="Cambria"/>
          <w:color w:val="000000" w:themeColor="text1"/>
          <w:sz w:val="24"/>
          <w:szCs w:val="24"/>
        </w:rPr>
        <w:t>Political</w:t>
      </w:r>
      <w:proofErr w:type="spellEnd"/>
      <w:r w:rsidRPr="00181268">
        <w:rPr>
          <w:rFonts w:ascii="Cambria" w:eastAsia="Cambria" w:hAnsi="Cambria" w:cs="Cambria"/>
          <w:color w:val="000000" w:themeColor="text1"/>
          <w:sz w:val="24"/>
          <w:szCs w:val="24"/>
        </w:rPr>
        <w:t xml:space="preserve"> Theory, Sage.</w:t>
      </w:r>
    </w:p>
    <w:p w14:paraId="00000063" w14:textId="77777777" w:rsidR="0073237C" w:rsidRDefault="00000000">
      <w:pPr>
        <w:spacing w:after="0" w:line="240" w:lineRule="auto"/>
        <w:ind w:left="284" w:hanging="284"/>
        <w:jc w:val="both"/>
        <w:rPr>
          <w:rFonts w:ascii="Cambria" w:eastAsia="Cambria" w:hAnsi="Cambria" w:cs="Cambria"/>
          <w:sz w:val="24"/>
          <w:szCs w:val="24"/>
        </w:rPr>
      </w:pPr>
      <w:r>
        <w:rPr>
          <w:rFonts w:ascii="Cambria" w:eastAsia="Cambria" w:hAnsi="Cambria" w:cs="Cambria"/>
          <w:sz w:val="24"/>
          <w:szCs w:val="24"/>
        </w:rPr>
        <w:t xml:space="preserve">ISTAT, La </w:t>
      </w:r>
      <w:proofErr w:type="spellStart"/>
      <w:r>
        <w:rPr>
          <w:rFonts w:ascii="Cambria" w:eastAsia="Cambria" w:hAnsi="Cambria" w:cs="Cambria"/>
          <w:sz w:val="24"/>
          <w:szCs w:val="24"/>
        </w:rPr>
        <w:t>povertà</w:t>
      </w:r>
      <w:proofErr w:type="spellEnd"/>
      <w:r>
        <w:rPr>
          <w:rFonts w:ascii="Cambria" w:eastAsia="Cambria" w:hAnsi="Cambria" w:cs="Cambria"/>
          <w:sz w:val="24"/>
          <w:szCs w:val="24"/>
        </w:rPr>
        <w:t xml:space="preserve"> in Italia - Anno 2022, (</w:t>
      </w:r>
      <w:hyperlink r:id="rId13">
        <w:r w:rsidR="0073237C" w:rsidRPr="00181268">
          <w:rPr>
            <w:rFonts w:ascii="Cambria" w:eastAsia="Cambria" w:hAnsi="Cambria" w:cs="Cambria"/>
            <w:color w:val="000000" w:themeColor="text1"/>
            <w:sz w:val="24"/>
            <w:szCs w:val="24"/>
          </w:rPr>
          <w:t>https://www.istat.it/comunicato-stampa/le-statistiche-dellistat-sulla-poverta-anno-2022</w:t>
        </w:r>
      </w:hyperlink>
      <w:r>
        <w:rPr>
          <w:rFonts w:ascii="Cambria" w:eastAsia="Cambria" w:hAnsi="Cambria" w:cs="Cambria"/>
          <w:sz w:val="24"/>
          <w:szCs w:val="24"/>
        </w:rPr>
        <w:t xml:space="preserve">) </w:t>
      </w:r>
      <w:proofErr w:type="spellStart"/>
      <w:r>
        <w:rPr>
          <w:rFonts w:ascii="Cambria" w:eastAsia="Cambria" w:hAnsi="Cambria" w:cs="Cambria"/>
          <w:sz w:val="24"/>
          <w:szCs w:val="24"/>
        </w:rPr>
        <w:t>ultima</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consultazione</w:t>
      </w:r>
      <w:proofErr w:type="spellEnd"/>
      <w:r>
        <w:rPr>
          <w:rFonts w:ascii="Cambria" w:eastAsia="Cambria" w:hAnsi="Cambria" w:cs="Cambria"/>
          <w:sz w:val="24"/>
          <w:szCs w:val="24"/>
        </w:rPr>
        <w:t xml:space="preserve"> 27.09.2024.</w:t>
      </w:r>
    </w:p>
    <w:p w14:paraId="00000064" w14:textId="77777777" w:rsidR="0073237C" w:rsidRDefault="00000000">
      <w:pPr>
        <w:spacing w:after="0" w:line="240" w:lineRule="auto"/>
        <w:ind w:left="284" w:hanging="284"/>
        <w:jc w:val="both"/>
        <w:rPr>
          <w:rFonts w:ascii="Cambria" w:eastAsia="Cambria" w:hAnsi="Cambria" w:cs="Cambria"/>
          <w:sz w:val="24"/>
          <w:szCs w:val="24"/>
        </w:rPr>
      </w:pPr>
      <w:r>
        <w:rPr>
          <w:rFonts w:ascii="Cambria" w:eastAsia="Cambria" w:hAnsi="Cambria" w:cs="Cambria"/>
          <w:sz w:val="24"/>
          <w:szCs w:val="24"/>
        </w:rPr>
        <w:t xml:space="preserve">ISTAT, </w:t>
      </w:r>
      <w:r>
        <w:rPr>
          <w:rFonts w:ascii="Cambria" w:eastAsia="Cambria" w:hAnsi="Cambria" w:cs="Cambria"/>
          <w:i/>
          <w:sz w:val="24"/>
          <w:szCs w:val="24"/>
        </w:rPr>
        <w:t xml:space="preserve">L’Italia dei </w:t>
      </w:r>
      <w:proofErr w:type="spellStart"/>
      <w:proofErr w:type="gramStart"/>
      <w:r>
        <w:rPr>
          <w:rFonts w:ascii="Cambria" w:eastAsia="Cambria" w:hAnsi="Cambria" w:cs="Cambria"/>
          <w:i/>
          <w:sz w:val="24"/>
          <w:szCs w:val="24"/>
        </w:rPr>
        <w:t>territori</w:t>
      </w:r>
      <w:proofErr w:type="spellEnd"/>
      <w:r>
        <w:rPr>
          <w:rFonts w:ascii="Cambria" w:eastAsia="Cambria" w:hAnsi="Cambria" w:cs="Cambria"/>
          <w:i/>
          <w:sz w:val="24"/>
          <w:szCs w:val="24"/>
        </w:rPr>
        <w:t>:</w:t>
      </w:r>
      <w:proofErr w:type="gramEnd"/>
      <w:r>
        <w:rPr>
          <w:rFonts w:ascii="Cambria" w:eastAsia="Cambria" w:hAnsi="Cambria" w:cs="Cambria"/>
          <w:i/>
          <w:sz w:val="24"/>
          <w:szCs w:val="24"/>
        </w:rPr>
        <w:t xml:space="preserve"> </w:t>
      </w:r>
      <w:proofErr w:type="spellStart"/>
      <w:r>
        <w:rPr>
          <w:rFonts w:ascii="Cambria" w:eastAsia="Cambria" w:hAnsi="Cambria" w:cs="Cambria"/>
          <w:i/>
          <w:sz w:val="24"/>
          <w:szCs w:val="24"/>
        </w:rPr>
        <w:t>sfide</w:t>
      </w:r>
      <w:proofErr w:type="spellEnd"/>
      <w:r>
        <w:rPr>
          <w:rFonts w:ascii="Cambria" w:eastAsia="Cambria" w:hAnsi="Cambria" w:cs="Cambria"/>
          <w:i/>
          <w:sz w:val="24"/>
          <w:szCs w:val="24"/>
        </w:rPr>
        <w:t xml:space="preserve"> e </w:t>
      </w:r>
      <w:proofErr w:type="spellStart"/>
      <w:r>
        <w:rPr>
          <w:rFonts w:ascii="Cambria" w:eastAsia="Cambria" w:hAnsi="Cambria" w:cs="Cambria"/>
          <w:i/>
          <w:sz w:val="24"/>
          <w:szCs w:val="24"/>
        </w:rPr>
        <w:t>potenzialità</w:t>
      </w:r>
      <w:proofErr w:type="spellEnd"/>
      <w:r>
        <w:rPr>
          <w:rFonts w:ascii="Cambria" w:eastAsia="Cambria" w:hAnsi="Cambria" w:cs="Cambria"/>
          <w:sz w:val="24"/>
          <w:szCs w:val="24"/>
        </w:rPr>
        <w:t xml:space="preserve"> in </w:t>
      </w:r>
      <w:proofErr w:type="spellStart"/>
      <w:r>
        <w:rPr>
          <w:rFonts w:ascii="Cambria" w:eastAsia="Cambria" w:hAnsi="Cambria" w:cs="Cambria"/>
          <w:sz w:val="24"/>
          <w:szCs w:val="24"/>
        </w:rPr>
        <w:t>Rapporto</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annuale</w:t>
      </w:r>
      <w:proofErr w:type="spellEnd"/>
      <w:r>
        <w:rPr>
          <w:rFonts w:ascii="Cambria" w:eastAsia="Cambria" w:hAnsi="Cambria" w:cs="Cambria"/>
          <w:sz w:val="24"/>
          <w:szCs w:val="24"/>
        </w:rPr>
        <w:t xml:space="preserve"> 2024. La </w:t>
      </w:r>
      <w:proofErr w:type="spellStart"/>
      <w:r>
        <w:rPr>
          <w:rFonts w:ascii="Cambria" w:eastAsia="Cambria" w:hAnsi="Cambria" w:cs="Cambria"/>
          <w:sz w:val="24"/>
          <w:szCs w:val="24"/>
        </w:rPr>
        <w:t>situazione</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del</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Paese</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Istituto</w:t>
      </w:r>
      <w:proofErr w:type="spellEnd"/>
      <w:r>
        <w:rPr>
          <w:rFonts w:ascii="Cambria" w:eastAsia="Cambria" w:hAnsi="Cambria" w:cs="Cambria"/>
          <w:sz w:val="24"/>
          <w:szCs w:val="24"/>
        </w:rPr>
        <w:t xml:space="preserve"> Nazionale di </w:t>
      </w:r>
      <w:proofErr w:type="spellStart"/>
      <w:r>
        <w:rPr>
          <w:rFonts w:ascii="Cambria" w:eastAsia="Cambria" w:hAnsi="Cambria" w:cs="Cambria"/>
          <w:sz w:val="24"/>
          <w:szCs w:val="24"/>
        </w:rPr>
        <w:t>Statistica</w:t>
      </w:r>
      <w:proofErr w:type="spellEnd"/>
      <w:r>
        <w:rPr>
          <w:rFonts w:ascii="Cambria" w:eastAsia="Cambria" w:hAnsi="Cambria" w:cs="Cambria"/>
          <w:sz w:val="24"/>
          <w:szCs w:val="24"/>
        </w:rPr>
        <w:t>, Roma, 2024.</w:t>
      </w:r>
    </w:p>
    <w:p w14:paraId="00000065" w14:textId="77777777" w:rsidR="0073237C" w:rsidRDefault="00000000">
      <w:pPr>
        <w:spacing w:after="0" w:line="240" w:lineRule="auto"/>
        <w:ind w:left="284" w:hanging="284"/>
        <w:jc w:val="both"/>
        <w:rPr>
          <w:rFonts w:ascii="Cambria" w:eastAsia="Cambria" w:hAnsi="Cambria" w:cs="Cambria"/>
          <w:sz w:val="24"/>
          <w:szCs w:val="24"/>
        </w:rPr>
      </w:pPr>
      <w:proofErr w:type="spellStart"/>
      <w:r>
        <w:rPr>
          <w:rFonts w:ascii="Cambria" w:eastAsia="Cambria" w:hAnsi="Cambria" w:cs="Cambria"/>
          <w:sz w:val="24"/>
          <w:szCs w:val="24"/>
        </w:rPr>
        <w:t>Osservatorio</w:t>
      </w:r>
      <w:proofErr w:type="spellEnd"/>
      <w:r>
        <w:rPr>
          <w:rFonts w:ascii="Cambria" w:eastAsia="Cambria" w:hAnsi="Cambria" w:cs="Cambria"/>
          <w:sz w:val="24"/>
          <w:szCs w:val="24"/>
        </w:rPr>
        <w:t xml:space="preserve"> </w:t>
      </w:r>
      <w:r>
        <w:rPr>
          <w:rFonts w:ascii="Cambria" w:eastAsia="Cambria" w:hAnsi="Cambria" w:cs="Cambria"/>
          <w:i/>
          <w:sz w:val="24"/>
          <w:szCs w:val="24"/>
        </w:rPr>
        <w:t>#CONIBAMBINI</w:t>
      </w:r>
      <w:r>
        <w:rPr>
          <w:rFonts w:ascii="Cambria" w:eastAsia="Cambria" w:hAnsi="Cambria" w:cs="Cambria"/>
          <w:sz w:val="24"/>
          <w:szCs w:val="24"/>
        </w:rPr>
        <w:t xml:space="preserve">, </w:t>
      </w:r>
      <w:r>
        <w:rPr>
          <w:rFonts w:ascii="Cambria" w:eastAsia="Cambria" w:hAnsi="Cambria" w:cs="Cambria"/>
          <w:i/>
          <w:sz w:val="24"/>
          <w:szCs w:val="24"/>
        </w:rPr>
        <w:t xml:space="preserve">PNRR e la </w:t>
      </w:r>
      <w:proofErr w:type="spellStart"/>
      <w:r>
        <w:rPr>
          <w:rFonts w:ascii="Cambria" w:eastAsia="Cambria" w:hAnsi="Cambria" w:cs="Cambria"/>
          <w:i/>
          <w:sz w:val="24"/>
          <w:szCs w:val="24"/>
        </w:rPr>
        <w:t>povertà</w:t>
      </w:r>
      <w:proofErr w:type="spellEnd"/>
      <w:r>
        <w:rPr>
          <w:rFonts w:ascii="Cambria" w:eastAsia="Cambria" w:hAnsi="Cambria" w:cs="Cambria"/>
          <w:i/>
          <w:sz w:val="24"/>
          <w:szCs w:val="24"/>
        </w:rPr>
        <w:t xml:space="preserve"> </w:t>
      </w:r>
      <w:proofErr w:type="spellStart"/>
      <w:r>
        <w:rPr>
          <w:rFonts w:ascii="Cambria" w:eastAsia="Cambria" w:hAnsi="Cambria" w:cs="Cambria"/>
          <w:i/>
          <w:sz w:val="24"/>
          <w:szCs w:val="24"/>
        </w:rPr>
        <w:t>educativa</w:t>
      </w:r>
      <w:proofErr w:type="spellEnd"/>
      <w:r>
        <w:rPr>
          <w:rFonts w:ascii="Cambria" w:eastAsia="Cambria" w:hAnsi="Cambria" w:cs="Cambria"/>
          <w:sz w:val="24"/>
          <w:szCs w:val="24"/>
        </w:rPr>
        <w:t xml:space="preserve">, 2022, on line conibambini.openpolis.it, </w:t>
      </w:r>
      <w:proofErr w:type="spellStart"/>
      <w:r>
        <w:rPr>
          <w:rFonts w:ascii="Cambria" w:eastAsia="Cambria" w:hAnsi="Cambria" w:cs="Cambria"/>
          <w:sz w:val="24"/>
          <w:szCs w:val="24"/>
        </w:rPr>
        <w:t>visto</w:t>
      </w:r>
      <w:proofErr w:type="spellEnd"/>
      <w:r>
        <w:rPr>
          <w:rFonts w:ascii="Cambria" w:eastAsia="Cambria" w:hAnsi="Cambria" w:cs="Cambria"/>
          <w:sz w:val="24"/>
          <w:szCs w:val="24"/>
        </w:rPr>
        <w:t xml:space="preserve"> il 17/09/2024.</w:t>
      </w:r>
    </w:p>
    <w:p w14:paraId="00000066" w14:textId="77777777" w:rsidR="0073237C" w:rsidRDefault="00000000">
      <w:pPr>
        <w:spacing w:after="0" w:line="240" w:lineRule="auto"/>
        <w:ind w:left="284" w:hanging="284"/>
        <w:jc w:val="both"/>
        <w:rPr>
          <w:rFonts w:ascii="Cambria" w:eastAsia="Cambria" w:hAnsi="Cambria" w:cs="Cambria"/>
          <w:sz w:val="24"/>
          <w:szCs w:val="24"/>
        </w:rPr>
      </w:pPr>
      <w:proofErr w:type="spellStart"/>
      <w:r>
        <w:rPr>
          <w:rFonts w:ascii="Cambria" w:eastAsia="Cambria" w:hAnsi="Cambria" w:cs="Cambria"/>
          <w:sz w:val="24"/>
          <w:szCs w:val="24"/>
        </w:rPr>
        <w:t>Osti</w:t>
      </w:r>
      <w:proofErr w:type="spellEnd"/>
      <w:r>
        <w:rPr>
          <w:rFonts w:ascii="Cambria" w:eastAsia="Cambria" w:hAnsi="Cambria" w:cs="Cambria"/>
          <w:sz w:val="24"/>
          <w:szCs w:val="24"/>
        </w:rPr>
        <w:t xml:space="preserve"> G., </w:t>
      </w:r>
      <w:proofErr w:type="spellStart"/>
      <w:r>
        <w:rPr>
          <w:rFonts w:ascii="Cambria" w:eastAsia="Cambria" w:hAnsi="Cambria" w:cs="Cambria"/>
          <w:i/>
          <w:sz w:val="24"/>
          <w:szCs w:val="24"/>
        </w:rPr>
        <w:t>Sociologia</w:t>
      </w:r>
      <w:proofErr w:type="spellEnd"/>
      <w:r>
        <w:rPr>
          <w:rFonts w:ascii="Cambria" w:eastAsia="Cambria" w:hAnsi="Cambria" w:cs="Cambria"/>
          <w:i/>
          <w:sz w:val="24"/>
          <w:szCs w:val="24"/>
        </w:rPr>
        <w:t xml:space="preserve"> </w:t>
      </w:r>
      <w:proofErr w:type="spellStart"/>
      <w:r>
        <w:rPr>
          <w:rFonts w:ascii="Cambria" w:eastAsia="Cambria" w:hAnsi="Cambria" w:cs="Cambria"/>
          <w:i/>
          <w:sz w:val="24"/>
          <w:szCs w:val="24"/>
        </w:rPr>
        <w:t>del</w:t>
      </w:r>
      <w:proofErr w:type="spellEnd"/>
      <w:r>
        <w:rPr>
          <w:rFonts w:ascii="Cambria" w:eastAsia="Cambria" w:hAnsi="Cambria" w:cs="Cambria"/>
          <w:i/>
          <w:sz w:val="24"/>
          <w:szCs w:val="24"/>
        </w:rPr>
        <w:t xml:space="preserve"> </w:t>
      </w:r>
      <w:proofErr w:type="spellStart"/>
      <w:r>
        <w:rPr>
          <w:rFonts w:ascii="Cambria" w:eastAsia="Cambria" w:hAnsi="Cambria" w:cs="Cambria"/>
          <w:i/>
          <w:sz w:val="24"/>
          <w:szCs w:val="24"/>
        </w:rPr>
        <w:t>territorio</w:t>
      </w:r>
      <w:proofErr w:type="spellEnd"/>
      <w:r>
        <w:rPr>
          <w:rFonts w:ascii="Cambria" w:eastAsia="Cambria" w:hAnsi="Cambria" w:cs="Cambria"/>
          <w:i/>
          <w:sz w:val="24"/>
          <w:szCs w:val="24"/>
        </w:rPr>
        <w:t>,</w:t>
      </w:r>
      <w:r>
        <w:rPr>
          <w:rFonts w:ascii="Cambria" w:eastAsia="Cambria" w:hAnsi="Cambria" w:cs="Cambria"/>
          <w:sz w:val="24"/>
          <w:szCs w:val="24"/>
        </w:rPr>
        <w:t xml:space="preserve"> Il </w:t>
      </w:r>
      <w:proofErr w:type="spellStart"/>
      <w:r>
        <w:rPr>
          <w:rFonts w:ascii="Cambria" w:eastAsia="Cambria" w:hAnsi="Cambria" w:cs="Cambria"/>
          <w:sz w:val="24"/>
          <w:szCs w:val="24"/>
        </w:rPr>
        <w:t>Mulino</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Bologna</w:t>
      </w:r>
      <w:proofErr w:type="spellEnd"/>
      <w:r>
        <w:rPr>
          <w:rFonts w:ascii="Cambria" w:eastAsia="Cambria" w:hAnsi="Cambria" w:cs="Cambria"/>
          <w:sz w:val="24"/>
          <w:szCs w:val="24"/>
        </w:rPr>
        <w:t>, 2013.</w:t>
      </w:r>
    </w:p>
    <w:p w14:paraId="00000067" w14:textId="77777777" w:rsidR="0073237C" w:rsidRDefault="00000000">
      <w:pPr>
        <w:spacing w:after="0" w:line="240" w:lineRule="auto"/>
        <w:ind w:left="284" w:hanging="284"/>
        <w:jc w:val="both"/>
        <w:rPr>
          <w:rFonts w:ascii="Cambria" w:eastAsia="Cambria" w:hAnsi="Cambria" w:cs="Cambria"/>
          <w:sz w:val="24"/>
          <w:szCs w:val="24"/>
        </w:rPr>
      </w:pPr>
      <w:proofErr w:type="spellStart"/>
      <w:r>
        <w:rPr>
          <w:rFonts w:ascii="Cambria" w:eastAsia="Cambria" w:hAnsi="Cambria" w:cs="Cambria"/>
          <w:sz w:val="24"/>
          <w:szCs w:val="24"/>
        </w:rPr>
        <w:t>Saraceno</w:t>
      </w:r>
      <w:proofErr w:type="spellEnd"/>
      <w:r>
        <w:rPr>
          <w:rFonts w:ascii="Cambria" w:eastAsia="Cambria" w:hAnsi="Cambria" w:cs="Cambria"/>
          <w:sz w:val="24"/>
          <w:szCs w:val="24"/>
        </w:rPr>
        <w:t xml:space="preserve"> C., </w:t>
      </w:r>
      <w:proofErr w:type="spellStart"/>
      <w:r>
        <w:rPr>
          <w:rFonts w:ascii="Cambria" w:eastAsia="Cambria" w:hAnsi="Cambria" w:cs="Cambria"/>
          <w:sz w:val="24"/>
          <w:szCs w:val="24"/>
        </w:rPr>
        <w:t>Benassi</w:t>
      </w:r>
      <w:proofErr w:type="spellEnd"/>
      <w:r>
        <w:rPr>
          <w:rFonts w:ascii="Cambria" w:eastAsia="Cambria" w:hAnsi="Cambria" w:cs="Cambria"/>
          <w:sz w:val="24"/>
          <w:szCs w:val="24"/>
        </w:rPr>
        <w:t xml:space="preserve"> D., </w:t>
      </w:r>
      <w:proofErr w:type="spellStart"/>
      <w:r>
        <w:rPr>
          <w:rFonts w:ascii="Cambria" w:eastAsia="Cambria" w:hAnsi="Cambria" w:cs="Cambria"/>
          <w:sz w:val="24"/>
          <w:szCs w:val="24"/>
        </w:rPr>
        <w:t>Morlicchio</w:t>
      </w:r>
      <w:proofErr w:type="spellEnd"/>
      <w:r>
        <w:rPr>
          <w:rFonts w:ascii="Cambria" w:eastAsia="Cambria" w:hAnsi="Cambria" w:cs="Cambria"/>
          <w:sz w:val="24"/>
          <w:szCs w:val="24"/>
        </w:rPr>
        <w:t xml:space="preserve"> E., </w:t>
      </w:r>
      <w:proofErr w:type="spellStart"/>
      <w:r>
        <w:rPr>
          <w:rFonts w:ascii="Cambria" w:eastAsia="Cambria" w:hAnsi="Cambria" w:cs="Cambria"/>
          <w:i/>
          <w:sz w:val="24"/>
          <w:szCs w:val="24"/>
        </w:rPr>
        <w:t>Poverty</w:t>
      </w:r>
      <w:proofErr w:type="spellEnd"/>
      <w:r>
        <w:rPr>
          <w:rFonts w:ascii="Cambria" w:eastAsia="Cambria" w:hAnsi="Cambria" w:cs="Cambria"/>
          <w:i/>
          <w:sz w:val="24"/>
          <w:szCs w:val="24"/>
        </w:rPr>
        <w:t xml:space="preserve"> in </w:t>
      </w:r>
      <w:proofErr w:type="spellStart"/>
      <w:r>
        <w:rPr>
          <w:rFonts w:ascii="Cambria" w:eastAsia="Cambria" w:hAnsi="Cambria" w:cs="Cambria"/>
          <w:i/>
          <w:sz w:val="24"/>
          <w:szCs w:val="24"/>
        </w:rPr>
        <w:t>Italy</w:t>
      </w:r>
      <w:proofErr w:type="spellEnd"/>
      <w:r>
        <w:rPr>
          <w:rFonts w:ascii="Cambria" w:eastAsia="Cambria" w:hAnsi="Cambria" w:cs="Cambria"/>
          <w:i/>
          <w:sz w:val="24"/>
          <w:szCs w:val="24"/>
        </w:rPr>
        <w:t xml:space="preserve">. </w:t>
      </w:r>
      <w:proofErr w:type="spellStart"/>
      <w:r>
        <w:rPr>
          <w:rFonts w:ascii="Cambria" w:eastAsia="Cambria" w:hAnsi="Cambria" w:cs="Cambria"/>
          <w:i/>
          <w:sz w:val="24"/>
          <w:szCs w:val="24"/>
        </w:rPr>
        <w:t>Features</w:t>
      </w:r>
      <w:proofErr w:type="spellEnd"/>
      <w:r>
        <w:rPr>
          <w:rFonts w:ascii="Cambria" w:eastAsia="Cambria" w:hAnsi="Cambria" w:cs="Cambria"/>
          <w:i/>
          <w:sz w:val="24"/>
          <w:szCs w:val="24"/>
        </w:rPr>
        <w:t xml:space="preserve"> and Drivers in a </w:t>
      </w:r>
      <w:proofErr w:type="spellStart"/>
      <w:r>
        <w:rPr>
          <w:rFonts w:ascii="Cambria" w:eastAsia="Cambria" w:hAnsi="Cambria" w:cs="Cambria"/>
          <w:i/>
          <w:sz w:val="24"/>
          <w:szCs w:val="24"/>
        </w:rPr>
        <w:t>European</w:t>
      </w:r>
      <w:proofErr w:type="spellEnd"/>
      <w:r>
        <w:rPr>
          <w:rFonts w:ascii="Cambria" w:eastAsia="Cambria" w:hAnsi="Cambria" w:cs="Cambria"/>
          <w:i/>
          <w:sz w:val="24"/>
          <w:szCs w:val="24"/>
        </w:rPr>
        <w:t xml:space="preserve"> Perspective</w:t>
      </w:r>
      <w:r>
        <w:rPr>
          <w:rFonts w:ascii="Cambria" w:eastAsia="Cambria" w:hAnsi="Cambria" w:cs="Cambria"/>
          <w:sz w:val="24"/>
          <w:szCs w:val="24"/>
        </w:rPr>
        <w:t xml:space="preserve">, Bristol </w:t>
      </w:r>
      <w:proofErr w:type="spellStart"/>
      <w:r>
        <w:rPr>
          <w:rFonts w:ascii="Cambria" w:eastAsia="Cambria" w:hAnsi="Cambria" w:cs="Cambria"/>
          <w:sz w:val="24"/>
          <w:szCs w:val="24"/>
        </w:rPr>
        <w:t>University</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Press</w:t>
      </w:r>
      <w:proofErr w:type="spellEnd"/>
      <w:r>
        <w:rPr>
          <w:rFonts w:ascii="Cambria" w:eastAsia="Cambria" w:hAnsi="Cambria" w:cs="Cambria"/>
          <w:sz w:val="24"/>
          <w:szCs w:val="24"/>
        </w:rPr>
        <w:t>, 2020.</w:t>
      </w:r>
    </w:p>
    <w:p w14:paraId="00000068" w14:textId="77777777" w:rsidR="0073237C" w:rsidRDefault="00000000">
      <w:pPr>
        <w:spacing w:after="0" w:line="240" w:lineRule="auto"/>
        <w:ind w:left="284" w:hanging="284"/>
        <w:jc w:val="both"/>
        <w:rPr>
          <w:rFonts w:ascii="Cambria" w:eastAsia="Cambria" w:hAnsi="Cambria" w:cs="Cambria"/>
          <w:sz w:val="24"/>
          <w:szCs w:val="24"/>
        </w:rPr>
      </w:pPr>
      <w:r>
        <w:rPr>
          <w:rFonts w:ascii="Cambria" w:eastAsia="Cambria" w:hAnsi="Cambria" w:cs="Cambria"/>
          <w:sz w:val="24"/>
          <w:szCs w:val="24"/>
        </w:rPr>
        <w:t xml:space="preserve">Tarantino, </w:t>
      </w:r>
      <w:proofErr w:type="spellStart"/>
      <w:r>
        <w:rPr>
          <w:rFonts w:ascii="Cambria" w:eastAsia="Cambria" w:hAnsi="Cambria" w:cs="Cambria"/>
          <w:i/>
          <w:sz w:val="24"/>
          <w:szCs w:val="24"/>
        </w:rPr>
        <w:t>Prefazione</w:t>
      </w:r>
      <w:proofErr w:type="spellEnd"/>
      <w:r>
        <w:rPr>
          <w:rFonts w:ascii="Cambria" w:eastAsia="Cambria" w:hAnsi="Cambria" w:cs="Cambria"/>
          <w:i/>
          <w:sz w:val="24"/>
          <w:szCs w:val="24"/>
        </w:rPr>
        <w:t xml:space="preserve">. </w:t>
      </w:r>
      <w:proofErr w:type="spellStart"/>
      <w:r>
        <w:rPr>
          <w:rFonts w:ascii="Cambria" w:eastAsia="Cambria" w:hAnsi="Cambria" w:cs="Cambria"/>
          <w:i/>
          <w:sz w:val="24"/>
          <w:szCs w:val="24"/>
        </w:rPr>
        <w:t>Produrre</w:t>
      </w:r>
      <w:proofErr w:type="spellEnd"/>
      <w:r>
        <w:rPr>
          <w:rFonts w:ascii="Cambria" w:eastAsia="Cambria" w:hAnsi="Cambria" w:cs="Cambria"/>
          <w:i/>
          <w:sz w:val="24"/>
          <w:szCs w:val="24"/>
        </w:rPr>
        <w:t xml:space="preserve"> </w:t>
      </w:r>
      <w:proofErr w:type="spellStart"/>
      <w:r>
        <w:rPr>
          <w:rFonts w:ascii="Cambria" w:eastAsia="Cambria" w:hAnsi="Cambria" w:cs="Cambria"/>
          <w:i/>
          <w:sz w:val="24"/>
          <w:szCs w:val="24"/>
        </w:rPr>
        <w:t>conoscenza</w:t>
      </w:r>
      <w:proofErr w:type="spellEnd"/>
      <w:r>
        <w:rPr>
          <w:rFonts w:ascii="Cambria" w:eastAsia="Cambria" w:hAnsi="Cambria" w:cs="Cambria"/>
          <w:i/>
          <w:sz w:val="24"/>
          <w:szCs w:val="24"/>
        </w:rPr>
        <w:t xml:space="preserve"> a </w:t>
      </w:r>
      <w:proofErr w:type="spellStart"/>
      <w:r>
        <w:rPr>
          <w:rFonts w:ascii="Cambria" w:eastAsia="Cambria" w:hAnsi="Cambria" w:cs="Cambria"/>
          <w:i/>
          <w:sz w:val="24"/>
          <w:szCs w:val="24"/>
        </w:rPr>
        <w:t>partire</w:t>
      </w:r>
      <w:proofErr w:type="spellEnd"/>
      <w:r>
        <w:rPr>
          <w:rFonts w:ascii="Cambria" w:eastAsia="Cambria" w:hAnsi="Cambria" w:cs="Cambria"/>
          <w:i/>
          <w:sz w:val="24"/>
          <w:szCs w:val="24"/>
        </w:rPr>
        <w:t xml:space="preserve"> </w:t>
      </w:r>
      <w:proofErr w:type="spellStart"/>
      <w:r>
        <w:rPr>
          <w:rFonts w:ascii="Cambria" w:eastAsia="Cambria" w:hAnsi="Cambria" w:cs="Cambria"/>
          <w:i/>
          <w:sz w:val="24"/>
          <w:szCs w:val="24"/>
        </w:rPr>
        <w:t>dai</w:t>
      </w:r>
      <w:proofErr w:type="spellEnd"/>
      <w:r>
        <w:rPr>
          <w:rFonts w:ascii="Cambria" w:eastAsia="Cambria" w:hAnsi="Cambria" w:cs="Cambria"/>
          <w:i/>
          <w:sz w:val="24"/>
          <w:szCs w:val="24"/>
        </w:rPr>
        <w:t xml:space="preserve"> </w:t>
      </w:r>
      <w:proofErr w:type="spellStart"/>
      <w:r>
        <w:rPr>
          <w:rFonts w:ascii="Cambria" w:eastAsia="Cambria" w:hAnsi="Cambria" w:cs="Cambria"/>
          <w:i/>
          <w:sz w:val="24"/>
          <w:szCs w:val="24"/>
        </w:rPr>
        <w:t>dati</w:t>
      </w:r>
      <w:proofErr w:type="spellEnd"/>
      <w:r>
        <w:rPr>
          <w:rFonts w:ascii="Cambria" w:eastAsia="Cambria" w:hAnsi="Cambria" w:cs="Cambria"/>
          <w:sz w:val="24"/>
          <w:szCs w:val="24"/>
        </w:rPr>
        <w:t xml:space="preserve"> in </w:t>
      </w:r>
      <w:proofErr w:type="spellStart"/>
      <w:r>
        <w:rPr>
          <w:rFonts w:ascii="Cambria" w:eastAsia="Cambria" w:hAnsi="Cambria" w:cs="Cambria"/>
          <w:sz w:val="24"/>
          <w:szCs w:val="24"/>
        </w:rPr>
        <w:t>Benassi</w:t>
      </w:r>
      <w:proofErr w:type="spellEnd"/>
      <w:r>
        <w:rPr>
          <w:rFonts w:ascii="Cambria" w:eastAsia="Cambria" w:hAnsi="Cambria" w:cs="Cambria"/>
          <w:sz w:val="24"/>
          <w:szCs w:val="24"/>
        </w:rPr>
        <w:t xml:space="preserve"> D., (</w:t>
      </w:r>
      <w:proofErr w:type="spellStart"/>
      <w:r>
        <w:rPr>
          <w:rFonts w:ascii="Cambria" w:eastAsia="Cambria" w:hAnsi="Cambria" w:cs="Cambria"/>
          <w:sz w:val="24"/>
          <w:szCs w:val="24"/>
        </w:rPr>
        <w:t>a</w:t>
      </w:r>
      <w:proofErr w:type="spellEnd"/>
      <w:r>
        <w:rPr>
          <w:rFonts w:ascii="Cambria" w:eastAsia="Cambria" w:hAnsi="Cambria" w:cs="Cambria"/>
          <w:sz w:val="24"/>
          <w:szCs w:val="24"/>
        </w:rPr>
        <w:t xml:space="preserve"> cura di) I </w:t>
      </w:r>
      <w:proofErr w:type="spellStart"/>
      <w:r>
        <w:rPr>
          <w:rFonts w:ascii="Cambria" w:eastAsia="Cambria" w:hAnsi="Cambria" w:cs="Cambria"/>
          <w:sz w:val="24"/>
          <w:szCs w:val="24"/>
        </w:rPr>
        <w:t>molti</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volti</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della</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povertà</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Strumenti</w:t>
      </w:r>
      <w:proofErr w:type="spellEnd"/>
      <w:r>
        <w:rPr>
          <w:rFonts w:ascii="Cambria" w:eastAsia="Cambria" w:hAnsi="Cambria" w:cs="Cambria"/>
          <w:sz w:val="24"/>
          <w:szCs w:val="24"/>
        </w:rPr>
        <w:t xml:space="preserve"> e </w:t>
      </w:r>
      <w:proofErr w:type="spellStart"/>
      <w:r>
        <w:rPr>
          <w:rFonts w:ascii="Cambria" w:eastAsia="Cambria" w:hAnsi="Cambria" w:cs="Cambria"/>
          <w:sz w:val="24"/>
          <w:szCs w:val="24"/>
        </w:rPr>
        <w:t>strategie</w:t>
      </w:r>
      <w:proofErr w:type="spellEnd"/>
      <w:r>
        <w:rPr>
          <w:rFonts w:ascii="Cambria" w:eastAsia="Cambria" w:hAnsi="Cambria" w:cs="Cambria"/>
          <w:sz w:val="24"/>
          <w:szCs w:val="24"/>
        </w:rPr>
        <w:t xml:space="preserve"> per </w:t>
      </w:r>
      <w:proofErr w:type="spellStart"/>
      <w:r>
        <w:rPr>
          <w:rFonts w:ascii="Cambria" w:eastAsia="Cambria" w:hAnsi="Cambria" w:cs="Cambria"/>
          <w:sz w:val="24"/>
          <w:szCs w:val="24"/>
        </w:rPr>
        <w:t>mappare</w:t>
      </w:r>
      <w:proofErr w:type="spellEnd"/>
      <w:r>
        <w:rPr>
          <w:rFonts w:ascii="Cambria" w:eastAsia="Cambria" w:hAnsi="Cambria" w:cs="Cambria"/>
          <w:sz w:val="24"/>
          <w:szCs w:val="24"/>
        </w:rPr>
        <w:t xml:space="preserve"> e </w:t>
      </w:r>
      <w:proofErr w:type="spellStart"/>
      <w:r>
        <w:rPr>
          <w:rFonts w:ascii="Cambria" w:eastAsia="Cambria" w:hAnsi="Cambria" w:cs="Cambria"/>
          <w:sz w:val="24"/>
          <w:szCs w:val="24"/>
        </w:rPr>
        <w:t>prevenire</w:t>
      </w:r>
      <w:proofErr w:type="spellEnd"/>
      <w:r>
        <w:rPr>
          <w:rFonts w:ascii="Cambria" w:eastAsia="Cambria" w:hAnsi="Cambria" w:cs="Cambria"/>
          <w:sz w:val="24"/>
          <w:szCs w:val="24"/>
        </w:rPr>
        <w:t xml:space="preserve"> la </w:t>
      </w:r>
      <w:proofErr w:type="spellStart"/>
      <w:r>
        <w:rPr>
          <w:rFonts w:ascii="Cambria" w:eastAsia="Cambria" w:hAnsi="Cambria" w:cs="Cambria"/>
          <w:sz w:val="24"/>
          <w:szCs w:val="24"/>
        </w:rPr>
        <w:t>vulnerabilità</w:t>
      </w:r>
      <w:proofErr w:type="spellEnd"/>
      <w:r>
        <w:rPr>
          <w:rFonts w:ascii="Cambria" w:eastAsia="Cambria" w:hAnsi="Cambria" w:cs="Cambria"/>
          <w:sz w:val="24"/>
          <w:szCs w:val="24"/>
        </w:rPr>
        <w:t xml:space="preserve"> sociale, </w:t>
      </w:r>
      <w:proofErr w:type="spellStart"/>
      <w:r>
        <w:rPr>
          <w:rFonts w:ascii="Cambria" w:eastAsia="Cambria" w:hAnsi="Cambria" w:cs="Cambria"/>
          <w:sz w:val="24"/>
          <w:szCs w:val="24"/>
        </w:rPr>
        <w:t>Fondazione</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Giangiacomo</w:t>
      </w:r>
      <w:proofErr w:type="spellEnd"/>
      <w:r>
        <w:rPr>
          <w:rFonts w:ascii="Cambria" w:eastAsia="Cambria" w:hAnsi="Cambria" w:cs="Cambria"/>
          <w:sz w:val="24"/>
          <w:szCs w:val="24"/>
        </w:rPr>
        <w:t xml:space="preserve"> Feltrinelli, Milano, 2023.</w:t>
      </w:r>
    </w:p>
    <w:p w14:paraId="00000069" w14:textId="77777777" w:rsidR="0073237C" w:rsidRDefault="00000000">
      <w:pPr>
        <w:spacing w:after="0" w:line="240" w:lineRule="auto"/>
        <w:ind w:left="284" w:hanging="284"/>
        <w:jc w:val="both"/>
        <w:rPr>
          <w:rFonts w:ascii="Cambria" w:eastAsia="Cambria" w:hAnsi="Cambria" w:cs="Cambria"/>
          <w:sz w:val="24"/>
          <w:szCs w:val="24"/>
        </w:rPr>
      </w:pPr>
      <w:r>
        <w:rPr>
          <w:rFonts w:ascii="Cambria" w:eastAsia="Cambria" w:hAnsi="Cambria" w:cs="Cambria"/>
          <w:sz w:val="24"/>
          <w:szCs w:val="24"/>
        </w:rPr>
        <w:t xml:space="preserve">Turco A., </w:t>
      </w:r>
      <w:proofErr w:type="spellStart"/>
      <w:r>
        <w:rPr>
          <w:rFonts w:ascii="Cambria" w:eastAsia="Cambria" w:hAnsi="Cambria" w:cs="Cambria"/>
          <w:i/>
          <w:sz w:val="24"/>
          <w:szCs w:val="24"/>
        </w:rPr>
        <w:t>Territorio</w:t>
      </w:r>
      <w:proofErr w:type="spellEnd"/>
      <w:r>
        <w:rPr>
          <w:rFonts w:ascii="Cambria" w:eastAsia="Cambria" w:hAnsi="Cambria" w:cs="Cambria"/>
          <w:i/>
          <w:sz w:val="24"/>
          <w:szCs w:val="24"/>
        </w:rPr>
        <w:t xml:space="preserve"> e </w:t>
      </w:r>
      <w:proofErr w:type="spellStart"/>
      <w:r>
        <w:rPr>
          <w:rFonts w:ascii="Cambria" w:eastAsia="Cambria" w:hAnsi="Cambria" w:cs="Cambria"/>
          <w:i/>
          <w:sz w:val="24"/>
          <w:szCs w:val="24"/>
        </w:rPr>
        <w:t>territorialità</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Enciclopedia</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Treccani</w:t>
      </w:r>
      <w:proofErr w:type="spellEnd"/>
      <w:r>
        <w:rPr>
          <w:rFonts w:ascii="Cambria" w:eastAsia="Cambria" w:hAnsi="Cambria" w:cs="Cambria"/>
          <w:sz w:val="24"/>
          <w:szCs w:val="24"/>
        </w:rPr>
        <w:t xml:space="preserve">, 2007, on line https://www.treccani.it/enciclopedia/territorio-e-territorialita_(Enciclopedia-Italiana)/, </w:t>
      </w:r>
      <w:proofErr w:type="spellStart"/>
      <w:r>
        <w:rPr>
          <w:rFonts w:ascii="Cambria" w:eastAsia="Cambria" w:hAnsi="Cambria" w:cs="Cambria"/>
          <w:sz w:val="24"/>
          <w:szCs w:val="24"/>
        </w:rPr>
        <w:t>visto</w:t>
      </w:r>
      <w:proofErr w:type="spellEnd"/>
      <w:r>
        <w:rPr>
          <w:rFonts w:ascii="Cambria" w:eastAsia="Cambria" w:hAnsi="Cambria" w:cs="Cambria"/>
          <w:sz w:val="24"/>
          <w:szCs w:val="24"/>
        </w:rPr>
        <w:t xml:space="preserve"> il 16/09/2024.</w:t>
      </w:r>
    </w:p>
    <w:p w14:paraId="0000006A" w14:textId="77777777" w:rsidR="0073237C" w:rsidRDefault="00000000">
      <w:pPr>
        <w:spacing w:after="0" w:line="240" w:lineRule="auto"/>
        <w:ind w:left="284" w:hanging="284"/>
        <w:jc w:val="both"/>
        <w:rPr>
          <w:rFonts w:ascii="Cambria" w:eastAsia="Cambria" w:hAnsi="Cambria" w:cs="Cambria"/>
          <w:sz w:val="24"/>
          <w:szCs w:val="24"/>
        </w:rPr>
      </w:pPr>
      <w:r>
        <w:rPr>
          <w:rFonts w:ascii="Cambria" w:eastAsia="Cambria" w:hAnsi="Cambria" w:cs="Cambria"/>
          <w:sz w:val="24"/>
          <w:szCs w:val="24"/>
        </w:rPr>
        <w:t xml:space="preserve">Union </w:t>
      </w:r>
      <w:proofErr w:type="spellStart"/>
      <w:r>
        <w:rPr>
          <w:rFonts w:ascii="Cambria" w:eastAsia="Cambria" w:hAnsi="Cambria" w:cs="Cambria"/>
          <w:sz w:val="24"/>
          <w:szCs w:val="24"/>
        </w:rPr>
        <w:t>European</w:t>
      </w:r>
      <w:proofErr w:type="spellEnd"/>
      <w:r>
        <w:rPr>
          <w:rFonts w:ascii="Cambria" w:eastAsia="Cambria" w:hAnsi="Cambria" w:cs="Cambria"/>
          <w:sz w:val="24"/>
          <w:szCs w:val="24"/>
        </w:rPr>
        <w:t xml:space="preserve">, </w:t>
      </w:r>
      <w:r>
        <w:rPr>
          <w:rFonts w:ascii="Cambria" w:eastAsia="Cambria" w:hAnsi="Cambria" w:cs="Cambria"/>
          <w:i/>
          <w:sz w:val="24"/>
          <w:szCs w:val="24"/>
        </w:rPr>
        <w:t xml:space="preserve">Territorial Agenda 2030. A future for all places, </w:t>
      </w:r>
      <w:r>
        <w:rPr>
          <w:rFonts w:ascii="Cambria" w:eastAsia="Cambria" w:hAnsi="Cambria" w:cs="Cambria"/>
          <w:sz w:val="24"/>
          <w:szCs w:val="24"/>
        </w:rPr>
        <w:t xml:space="preserve">2020, on line </w:t>
      </w:r>
      <w:hyperlink r:id="rId14">
        <w:r w:rsidR="0073237C" w:rsidRPr="00181268">
          <w:rPr>
            <w:rFonts w:ascii="Cambria" w:eastAsia="Cambria" w:hAnsi="Cambria" w:cs="Cambria"/>
            <w:color w:val="000000" w:themeColor="text1"/>
            <w:sz w:val="24"/>
            <w:szCs w:val="24"/>
          </w:rPr>
          <w:t>https://territorialagenda.eu/wp-content/uploads/TA2030_jun2021_en.pdf</w:t>
        </w:r>
      </w:hyperlink>
      <w:r>
        <w:rPr>
          <w:rFonts w:ascii="Cambria" w:eastAsia="Cambria" w:hAnsi="Cambria" w:cs="Cambria"/>
          <w:sz w:val="24"/>
          <w:szCs w:val="24"/>
        </w:rPr>
        <w:t xml:space="preserve">, </w:t>
      </w:r>
      <w:proofErr w:type="spellStart"/>
      <w:r>
        <w:rPr>
          <w:rFonts w:ascii="Cambria" w:eastAsia="Cambria" w:hAnsi="Cambria" w:cs="Cambria"/>
          <w:sz w:val="24"/>
          <w:szCs w:val="24"/>
        </w:rPr>
        <w:t>visto</w:t>
      </w:r>
      <w:proofErr w:type="spellEnd"/>
      <w:r>
        <w:rPr>
          <w:rFonts w:ascii="Cambria" w:eastAsia="Cambria" w:hAnsi="Cambria" w:cs="Cambria"/>
          <w:sz w:val="24"/>
          <w:szCs w:val="24"/>
        </w:rPr>
        <w:t xml:space="preserve"> il 02/10/2024.</w:t>
      </w:r>
    </w:p>
    <w:p w14:paraId="0000006B" w14:textId="77777777" w:rsidR="0073237C" w:rsidRDefault="0073237C">
      <w:pPr>
        <w:spacing w:after="0" w:line="240" w:lineRule="auto"/>
        <w:ind w:left="284" w:hanging="284"/>
        <w:jc w:val="both"/>
        <w:rPr>
          <w:rFonts w:ascii="Cambria" w:eastAsia="Cambria" w:hAnsi="Cambria" w:cs="Cambria"/>
          <w:sz w:val="24"/>
          <w:szCs w:val="24"/>
        </w:rPr>
      </w:pPr>
    </w:p>
    <w:sectPr w:rsidR="0073237C">
      <w:footerReference w:type="default" r:id="rId15"/>
      <w:pgSz w:w="11906" w:h="16838"/>
      <w:pgMar w:top="1701" w:right="1701" w:bottom="1701" w:left="1701" w:header="0" w:footer="31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3EFC" w14:textId="77777777" w:rsidR="004A50A5" w:rsidRDefault="004A50A5">
      <w:pPr>
        <w:spacing w:after="0" w:line="240" w:lineRule="auto"/>
      </w:pPr>
      <w:r>
        <w:separator/>
      </w:r>
    </w:p>
  </w:endnote>
  <w:endnote w:type="continuationSeparator" w:id="0">
    <w:p w14:paraId="2EAD30E4" w14:textId="77777777" w:rsidR="004A50A5" w:rsidRDefault="004A5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3" w14:textId="7B3CDFF4" w:rsidR="0073237C" w:rsidRDefault="00000000">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fldChar w:fldCharType="begin"/>
    </w:r>
    <w:r>
      <w:rPr>
        <w:rFonts w:ascii="Times New Roman" w:eastAsia="Times New Roman" w:hAnsi="Times New Roman" w:cs="Times New Roman"/>
        <w:i/>
        <w:color w:val="000000"/>
        <w:sz w:val="20"/>
        <w:szCs w:val="20"/>
      </w:rPr>
      <w:instrText>PAGE</w:instrText>
    </w:r>
    <w:r>
      <w:rPr>
        <w:rFonts w:ascii="Times New Roman" w:eastAsia="Times New Roman" w:hAnsi="Times New Roman" w:cs="Times New Roman"/>
        <w:i/>
        <w:color w:val="000000"/>
        <w:sz w:val="20"/>
        <w:szCs w:val="20"/>
      </w:rPr>
      <w:fldChar w:fldCharType="separate"/>
    </w:r>
    <w:r w:rsidR="00F9192D">
      <w:rPr>
        <w:rFonts w:ascii="Times New Roman" w:eastAsia="Times New Roman" w:hAnsi="Times New Roman" w:cs="Times New Roman"/>
        <w:i/>
        <w:noProof/>
        <w:color w:val="000000"/>
        <w:sz w:val="20"/>
        <w:szCs w:val="20"/>
      </w:rPr>
      <w:t>1</w:t>
    </w:r>
    <w:r>
      <w:rPr>
        <w:rFonts w:ascii="Times New Roman" w:eastAsia="Times New Roman" w:hAnsi="Times New Roman" w:cs="Times New Roman"/>
        <w:i/>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AAF5" w14:textId="77777777" w:rsidR="004A50A5" w:rsidRDefault="004A50A5">
      <w:pPr>
        <w:spacing w:after="0" w:line="240" w:lineRule="auto"/>
      </w:pPr>
      <w:r>
        <w:separator/>
      </w:r>
    </w:p>
  </w:footnote>
  <w:footnote w:type="continuationSeparator" w:id="0">
    <w:p w14:paraId="15523415" w14:textId="77777777" w:rsidR="004A50A5" w:rsidRDefault="004A50A5">
      <w:pPr>
        <w:spacing w:after="0" w:line="240" w:lineRule="auto"/>
      </w:pPr>
      <w:r>
        <w:continuationSeparator/>
      </w:r>
    </w:p>
  </w:footnote>
  <w:footnote w:id="1">
    <w:p w14:paraId="0000006C" w14:textId="77777777" w:rsidR="0073237C" w:rsidRDefault="00000000">
      <w:pPr>
        <w:pBdr>
          <w:top w:val="nil"/>
          <w:left w:val="nil"/>
          <w:bottom w:val="nil"/>
          <w:right w:val="nil"/>
          <w:between w:val="nil"/>
        </w:pBdr>
        <w:spacing w:after="0" w:line="240" w:lineRule="auto"/>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Bien que l’essai soit le fruit du travail conjoint des auteurs, les paragraphes 1 et 4 sont attribués à C. </w:t>
      </w:r>
      <w:proofErr w:type="spellStart"/>
      <w:r>
        <w:rPr>
          <w:rFonts w:ascii="Cambria" w:eastAsia="Cambria" w:hAnsi="Cambria" w:cs="Cambria"/>
          <w:color w:val="000000"/>
          <w:sz w:val="20"/>
          <w:szCs w:val="20"/>
        </w:rPr>
        <w:t>Colloca</w:t>
      </w:r>
      <w:proofErr w:type="spellEnd"/>
      <w:r>
        <w:rPr>
          <w:rFonts w:ascii="Cambria" w:eastAsia="Cambria" w:hAnsi="Cambria" w:cs="Cambria"/>
          <w:color w:val="000000"/>
          <w:sz w:val="20"/>
          <w:szCs w:val="20"/>
        </w:rPr>
        <w:t xml:space="preserve">, le paragraphe 2 à V. </w:t>
      </w:r>
      <w:proofErr w:type="spellStart"/>
      <w:r>
        <w:rPr>
          <w:rFonts w:ascii="Cambria" w:eastAsia="Cambria" w:hAnsi="Cambria" w:cs="Cambria"/>
          <w:color w:val="000000"/>
          <w:sz w:val="20"/>
          <w:szCs w:val="20"/>
        </w:rPr>
        <w:t>Pantaleo</w:t>
      </w:r>
      <w:proofErr w:type="spellEnd"/>
      <w:r>
        <w:rPr>
          <w:rFonts w:ascii="Cambria" w:eastAsia="Cambria" w:hAnsi="Cambria" w:cs="Cambria"/>
          <w:color w:val="000000"/>
          <w:sz w:val="20"/>
          <w:szCs w:val="20"/>
        </w:rPr>
        <w:t>, et le paragraphe 3 à L. Lipari.</w:t>
      </w:r>
    </w:p>
  </w:footnote>
  <w:footnote w:id="2">
    <w:p w14:paraId="0000006D" w14:textId="77777777" w:rsidR="0073237C" w:rsidRDefault="00000000">
      <w:pPr>
        <w:pBdr>
          <w:top w:val="nil"/>
          <w:left w:val="nil"/>
          <w:bottom w:val="nil"/>
          <w:right w:val="nil"/>
          <w:between w:val="nil"/>
        </w:pBdr>
        <w:spacing w:after="0" w:line="240" w:lineRule="auto"/>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Il s’agit d’une association culturelle, implantée à </w:t>
      </w:r>
      <w:proofErr w:type="spellStart"/>
      <w:r>
        <w:rPr>
          <w:rFonts w:ascii="Cambria" w:eastAsia="Cambria" w:hAnsi="Cambria" w:cs="Cambria"/>
          <w:color w:val="000000"/>
          <w:sz w:val="20"/>
          <w:szCs w:val="20"/>
        </w:rPr>
        <w:t>Favara</w:t>
      </w:r>
      <w:proofErr w:type="spellEnd"/>
      <w:r>
        <w:rPr>
          <w:rFonts w:ascii="Cambria" w:eastAsia="Cambria" w:hAnsi="Cambria" w:cs="Cambria"/>
          <w:color w:val="000000"/>
          <w:sz w:val="20"/>
          <w:szCs w:val="20"/>
        </w:rPr>
        <w:t xml:space="preserve"> et </w:t>
      </w:r>
      <w:proofErr w:type="spellStart"/>
      <w:r>
        <w:rPr>
          <w:rFonts w:ascii="Cambria" w:eastAsia="Cambria" w:hAnsi="Cambria" w:cs="Cambria"/>
          <w:color w:val="000000"/>
          <w:sz w:val="20"/>
          <w:szCs w:val="20"/>
        </w:rPr>
        <w:t>Mazzarino</w:t>
      </w:r>
      <w:proofErr w:type="spellEnd"/>
      <w:r>
        <w:rPr>
          <w:rFonts w:ascii="Cambria" w:eastAsia="Cambria" w:hAnsi="Cambria" w:cs="Cambria"/>
          <w:color w:val="000000"/>
          <w:sz w:val="20"/>
          <w:szCs w:val="20"/>
        </w:rPr>
        <w:t xml:space="preserve"> en Sicile, qui se consacre à la régénération urbaine, avec une attention particulière aux zones les plus vulnérables. Elle adopte une approche combinant compétences, innovation et créativité, grâce au soutien d’experts dans divers domaines (architectes, artistes, etc.).</w:t>
      </w:r>
    </w:p>
  </w:footnote>
  <w:footnote w:id="3">
    <w:p w14:paraId="0000006E" w14:textId="77777777" w:rsidR="0073237C" w:rsidRDefault="00000000">
      <w:pPr>
        <w:spacing w:after="0" w:line="240" w:lineRule="auto"/>
        <w:jc w:val="both"/>
        <w:rPr>
          <w:rFonts w:ascii="Cambria" w:eastAsia="Cambria" w:hAnsi="Cambria" w:cs="Cambria"/>
          <w:sz w:val="20"/>
          <w:szCs w:val="20"/>
        </w:rPr>
      </w:pPr>
      <w:r>
        <w:rPr>
          <w:vertAlign w:val="superscript"/>
        </w:rPr>
        <w:footnoteRef/>
      </w:r>
      <w:r>
        <w:rPr>
          <w:rFonts w:ascii="Cambria" w:eastAsia="Cambria" w:hAnsi="Cambria" w:cs="Cambria"/>
        </w:rPr>
        <w:t xml:space="preserve"> </w:t>
      </w:r>
      <w:r>
        <w:rPr>
          <w:rFonts w:ascii="Cambria" w:eastAsia="Cambria" w:hAnsi="Cambria" w:cs="Cambria"/>
          <w:sz w:val="20"/>
          <w:szCs w:val="20"/>
        </w:rPr>
        <w:t>Cette dimension se rapporte à l’acquisition de compétences, cognitives et autres, permettant le développement personnel et relationnel en tant que citoyens actifs et conscients.</w:t>
      </w:r>
    </w:p>
  </w:footnote>
  <w:footnote w:id="4">
    <w:p w14:paraId="0000006F" w14:textId="23D95D9A" w:rsidR="0073237C" w:rsidRDefault="00000000">
      <w:pPr>
        <w:pBdr>
          <w:top w:val="nil"/>
          <w:left w:val="nil"/>
          <w:bottom w:val="nil"/>
          <w:right w:val="nil"/>
          <w:between w:val="nil"/>
        </w:pBdr>
        <w:spacing w:after="0" w:line="240" w:lineRule="auto"/>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Le décrochage précoce est mesuré par le ratio entre les jeunes âgés de 18 à 24 ans qui ont au maximum un diplôme de l’enseignement secondaire inférieur et qui ne participent à aucune autre activité de formation, par rapport à leurs pairs. Source : SISREG, Systèmes d’indicateurs sociaux régionaux et provinciaux, </w:t>
      </w:r>
      <w:proofErr w:type="gramStart"/>
      <w:r>
        <w:rPr>
          <w:rFonts w:ascii="Cambria" w:eastAsia="Cambria" w:hAnsi="Cambria" w:cs="Cambria"/>
          <w:color w:val="000000"/>
          <w:sz w:val="20"/>
          <w:szCs w:val="20"/>
        </w:rPr>
        <w:t>source:</w:t>
      </w:r>
      <w:proofErr w:type="gramEnd"/>
    </w:p>
    <w:p w14:paraId="00000070" w14:textId="02A9A029" w:rsidR="0073237C" w:rsidRDefault="00A9738C">
      <w:pPr>
        <w:pBdr>
          <w:top w:val="nil"/>
          <w:left w:val="nil"/>
          <w:bottom w:val="nil"/>
          <w:right w:val="nil"/>
          <w:between w:val="nil"/>
        </w:pBdr>
        <w:spacing w:after="0" w:line="240" w:lineRule="auto"/>
        <w:jc w:val="both"/>
        <w:rPr>
          <w:rFonts w:ascii="Cambria" w:eastAsia="Cambria" w:hAnsi="Cambria" w:cs="Cambria"/>
          <w:color w:val="000000"/>
          <w:sz w:val="20"/>
          <w:szCs w:val="20"/>
        </w:rPr>
      </w:pPr>
      <w:r w:rsidRPr="00A9738C">
        <w:rPr>
          <w:rFonts w:ascii="Cambria" w:eastAsia="Cambria" w:hAnsi="Cambria" w:cs="Cambria"/>
          <w:color w:val="000000"/>
          <w:sz w:val="20"/>
          <w:szCs w:val="20"/>
        </w:rPr>
        <w:t>https://www.sisreg.it/index.php?option=com_content&amp;view=article&amp;id=</w:t>
      </w:r>
      <w:r w:rsidRPr="00A9738C">
        <w:rPr>
          <w:rFonts w:ascii="Cambria" w:eastAsia="Cambria" w:hAnsi="Cambria" w:cs="Cambria"/>
          <w:color w:val="000000"/>
          <w:sz w:val="20"/>
          <w:szCs w:val="20"/>
        </w:rPr>
        <w:t>6</w:t>
      </w:r>
      <w:r w:rsidRPr="00A9738C">
        <w:rPr>
          <w:rFonts w:ascii="Cambria" w:eastAsia="Cambria" w:hAnsi="Cambria" w:cs="Cambria"/>
          <w:color w:val="000000"/>
          <w:sz w:val="20"/>
          <w:szCs w:val="20"/>
        </w:rPr>
        <w:t>5&amp;Itemid=77</w:t>
      </w:r>
      <w:r>
        <w:rPr>
          <w:rFonts w:ascii="Cambria" w:eastAsia="Cambria" w:hAnsi="Cambria" w:cs="Cambria"/>
          <w:color w:val="000000"/>
          <w:sz w:val="20"/>
          <w:szCs w:val="20"/>
        </w:rPr>
        <w:t xml:space="preserve"> </w:t>
      </w:r>
      <w:r w:rsidR="0073237C">
        <w:rPr>
          <w:rFonts w:ascii="Cambria" w:eastAsia="Cambria" w:hAnsi="Cambria" w:cs="Cambria"/>
          <w:color w:val="000000"/>
          <w:sz w:val="20"/>
          <w:szCs w:val="20"/>
        </w:rPr>
        <w:t>(dernière consultation le 26.09.2024).</w:t>
      </w:r>
    </w:p>
  </w:footnote>
  <w:footnote w:id="5">
    <w:p w14:paraId="00000071" w14:textId="77777777" w:rsidR="0073237C" w:rsidRDefault="00000000">
      <w:pPr>
        <w:pBdr>
          <w:top w:val="nil"/>
          <w:left w:val="nil"/>
          <w:bottom w:val="nil"/>
          <w:right w:val="nil"/>
          <w:between w:val="nil"/>
        </w:pBdr>
        <w:spacing w:after="0" w:line="240" w:lineRule="auto"/>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L’indice de vulnérabilité sociale et matérielle représente une synthèse des phénomènes socio-économiques à l’échelle territoriale et temporelle, élaborée par l’Institut National de Statistique sur les données disponibles du Recensement de la Population et des Logements. La mesure de la « faible instruction » permet d’examiner les conditions liées à la prévalence de bas niveaux d’instruction, en se concentrant spécifiquement sur les personnes en âge actif. ISTAT, </w:t>
      </w:r>
      <w:r>
        <w:rPr>
          <w:rFonts w:ascii="Cambria" w:eastAsia="Cambria" w:hAnsi="Cambria" w:cs="Cambria"/>
          <w:i/>
          <w:color w:val="000000"/>
          <w:sz w:val="20"/>
          <w:szCs w:val="20"/>
        </w:rPr>
        <w:t>Les mesures de la vulnérabilité : une application à différents territoires</w:t>
      </w:r>
      <w:r>
        <w:rPr>
          <w:rFonts w:ascii="Cambria" w:eastAsia="Cambria" w:hAnsi="Cambria" w:cs="Cambria"/>
          <w:color w:val="000000"/>
          <w:sz w:val="20"/>
          <w:szCs w:val="20"/>
        </w:rPr>
        <w:t>, Institut National de Statistique, Rome 2020.</w:t>
      </w:r>
    </w:p>
  </w:footnote>
  <w:footnote w:id="6">
    <w:p w14:paraId="00000072" w14:textId="77777777" w:rsidR="0073237C" w:rsidRDefault="00000000">
      <w:pPr>
        <w:pBdr>
          <w:top w:val="nil"/>
          <w:left w:val="nil"/>
          <w:bottom w:val="nil"/>
          <w:right w:val="nil"/>
          <w:between w:val="nil"/>
        </w:pBdr>
        <w:spacing w:after="0" w:line="240" w:lineRule="auto"/>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Comme il est bien connu, le risque le plus élevé d’abandon scolaire survient lors de la transition entre le premier et le second cycle de l’enseignement secondaire, touchant les adolescents âgés de 13 à 15 ans, ce qui a motivé ce choix.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20B9"/>
    <w:multiLevelType w:val="multilevel"/>
    <w:tmpl w:val="0F6CDDF6"/>
    <w:lvl w:ilvl="0">
      <w:start w:val="1"/>
      <w:numFmt w:val="bullet"/>
      <w:lvlText w:val="-"/>
      <w:lvlJc w:val="left"/>
      <w:pPr>
        <w:ind w:left="1288" w:hanging="359"/>
      </w:pPr>
      <w:rPr>
        <w:rFonts w:ascii="Cambria" w:eastAsia="Cambria" w:hAnsi="Cambria" w:cs="Cambria"/>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15:restartNumberingAfterBreak="0">
    <w:nsid w:val="7B012A5A"/>
    <w:multiLevelType w:val="multilevel"/>
    <w:tmpl w:val="E17011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2A3C56"/>
    <w:multiLevelType w:val="multilevel"/>
    <w:tmpl w:val="036C7ED6"/>
    <w:lvl w:ilvl="0">
      <w:start w:val="1"/>
      <w:numFmt w:val="bullet"/>
      <w:lvlText w:val="-"/>
      <w:lvlJc w:val="left"/>
      <w:pPr>
        <w:ind w:left="1080" w:hanging="360"/>
      </w:pPr>
      <w:rPr>
        <w:rFonts w:ascii="Cambria" w:eastAsia="Cambria" w:hAnsi="Cambria" w:cs="Cambri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004621940">
    <w:abstractNumId w:val="0"/>
  </w:num>
  <w:num w:numId="2" w16cid:durableId="1808432311">
    <w:abstractNumId w:val="2"/>
  </w:num>
  <w:num w:numId="3" w16cid:durableId="521212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7C"/>
    <w:rsid w:val="00062D0C"/>
    <w:rsid w:val="00181268"/>
    <w:rsid w:val="00347BE9"/>
    <w:rsid w:val="004A2591"/>
    <w:rsid w:val="004A50A5"/>
    <w:rsid w:val="005B27FA"/>
    <w:rsid w:val="006B22FB"/>
    <w:rsid w:val="006F0D27"/>
    <w:rsid w:val="0073237C"/>
    <w:rsid w:val="00973B94"/>
    <w:rsid w:val="00A072B4"/>
    <w:rsid w:val="00A9738C"/>
    <w:rsid w:val="00BE00A0"/>
    <w:rsid w:val="00C20BF1"/>
    <w:rsid w:val="00CA4787"/>
    <w:rsid w:val="00CB38C6"/>
    <w:rsid w:val="00DD3E16"/>
    <w:rsid w:val="00E24DE0"/>
    <w:rsid w:val="00F9192D"/>
    <w:rsid w:val="00FE7B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3FB1FC5"/>
  <w15:docId w15:val="{199BA31D-E696-0044-988B-EB07C3320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6E37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E375A"/>
  </w:style>
  <w:style w:type="paragraph" w:styleId="Pidipagina">
    <w:name w:val="footer"/>
    <w:basedOn w:val="Normale"/>
    <w:link w:val="PidipaginaCarattere"/>
    <w:uiPriority w:val="99"/>
    <w:unhideWhenUsed/>
    <w:rsid w:val="006E37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E375A"/>
  </w:style>
  <w:style w:type="paragraph" w:styleId="Testonotaapidipagina">
    <w:name w:val="footnote text"/>
    <w:basedOn w:val="Normale"/>
    <w:link w:val="TestonotaapidipaginaCarattere"/>
    <w:uiPriority w:val="99"/>
    <w:semiHidden/>
    <w:unhideWhenUsed/>
    <w:rsid w:val="00A118B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118B9"/>
    <w:rPr>
      <w:sz w:val="20"/>
      <w:szCs w:val="20"/>
    </w:rPr>
  </w:style>
  <w:style w:type="character" w:styleId="Rimandonotaapidipagina">
    <w:name w:val="footnote reference"/>
    <w:basedOn w:val="Carpredefinitoparagrafo"/>
    <w:uiPriority w:val="99"/>
    <w:semiHidden/>
    <w:unhideWhenUsed/>
    <w:rsid w:val="00A118B9"/>
    <w:rPr>
      <w:vertAlign w:val="superscript"/>
    </w:rPr>
  </w:style>
  <w:style w:type="paragraph" w:styleId="Paragrafoelenco">
    <w:name w:val="List Paragraph"/>
    <w:basedOn w:val="Normale"/>
    <w:uiPriority w:val="34"/>
    <w:qFormat/>
    <w:rsid w:val="00D616B1"/>
    <w:pPr>
      <w:ind w:left="720"/>
      <w:contextualSpacing/>
    </w:pPr>
  </w:style>
  <w:style w:type="character" w:styleId="Collegamentoipertestuale">
    <w:name w:val="Hyperlink"/>
    <w:basedOn w:val="Carpredefinitoparagrafo"/>
    <w:uiPriority w:val="99"/>
    <w:unhideWhenUsed/>
    <w:rsid w:val="00477A61"/>
    <w:rPr>
      <w:color w:val="0563C1" w:themeColor="hyperlink"/>
      <w:u w:val="single"/>
    </w:rPr>
  </w:style>
  <w:style w:type="character" w:styleId="Menzionenonrisolta">
    <w:name w:val="Unresolved Mention"/>
    <w:basedOn w:val="Carpredefinitoparagrafo"/>
    <w:uiPriority w:val="99"/>
    <w:semiHidden/>
    <w:unhideWhenUsed/>
    <w:rsid w:val="006C2D5C"/>
    <w:rPr>
      <w:color w:val="605E5C"/>
      <w:shd w:val="clear" w:color="auto" w:fill="E1DFDD"/>
    </w:rPr>
  </w:style>
  <w:style w:type="character" w:styleId="Collegamentovisitato">
    <w:name w:val="FollowedHyperlink"/>
    <w:basedOn w:val="Carpredefinitoparagrafo"/>
    <w:uiPriority w:val="99"/>
    <w:semiHidden/>
    <w:unhideWhenUsed/>
    <w:rsid w:val="006C2D5C"/>
    <w:rPr>
      <w:color w:val="954F72" w:themeColor="followedHyperlink"/>
      <w:u w:val="singl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semiHidden/>
    <w:unhideWhenUsed/>
    <w:rsid w:val="00B67ECB"/>
    <w:rPr>
      <w:rFonts w:ascii="Times New Roman" w:hAnsi="Times New Roman" w:cs="Times New Roman"/>
      <w:sz w:val="24"/>
      <w:szCs w:val="24"/>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stat.it/comunicato-stampa/le-statistiche-dellistat-sulla-poverta-anno-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erritorialagenda.eu/wp-content/uploads/TA2030_jun2021_en.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Az6mm0ZGNCOson1ICJiYoYkng==">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3648</Words>
  <Characters>20800</Characters>
  <Application>Microsoft Office Word</Application>
  <DocSecurity>0</DocSecurity>
  <Lines>173</Lines>
  <Paragraphs>48</Paragraphs>
  <ScaleCrop>false</ScaleCrop>
  <Company/>
  <LinksUpToDate>false</LinksUpToDate>
  <CharactersWithSpaces>24400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Graziina</dc:creator>
  <cp:lastModifiedBy>Licia Lipari</cp:lastModifiedBy>
  <cp:revision>13</cp:revision>
  <dcterms:created xsi:type="dcterms:W3CDTF">2016-07-06T09:47:00Z</dcterms:created>
  <dcterms:modified xsi:type="dcterms:W3CDTF">2025-01-27T10:16:00Z</dcterms:modified>
</cp:coreProperties>
</file>